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附件1</w:t>
      </w:r>
    </w:p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sz w:val="36"/>
          <w:szCs w:val="36"/>
        </w:rPr>
        <w:t>省级示范物流园区申报条件</w:t>
      </w:r>
    </w:p>
    <w:bookmarkEnd w:id="0"/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</w:p>
    <w:tbl>
      <w:tblPr>
        <w:tblStyle w:val="2"/>
        <w:tblW w:w="872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2"/>
        <w:gridCol w:w="1824"/>
        <w:gridCol w:w="1369"/>
        <w:gridCol w:w="1369"/>
        <w:gridCol w:w="1427"/>
        <w:gridCol w:w="1369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申报条件</w:t>
            </w:r>
          </w:p>
        </w:tc>
        <w:tc>
          <w:tcPr>
            <w:tcW w:w="735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具体要求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货运枢纽型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商贸服务型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生产服务型</w:t>
            </w:r>
          </w:p>
        </w:tc>
        <w:tc>
          <w:tcPr>
            <w:tcW w:w="14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口岸服务型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b/>
                <w:bCs/>
                <w:sz w:val="20"/>
                <w:szCs w:val="20"/>
              </w:rPr>
              <w:t>综合服务型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基本要求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园区应具有较好的区位及交通条件，符合土地利用总体规划、城乡规划、物流业发展规划、综合交通体系规划和产业发展规划等。园区已制定发展规划。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运营要求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开业运营满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年或以上，具有独立运营的物流园区管理机构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园区收入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全部入驻企业物流业务年收入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5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亿元以上，年营业收入超过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亿元的物流企业不少于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实际占地面积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≥300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物流运营面积占比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≥60%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园区物流强度</w:t>
            </w: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空港型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≥60</w:t>
            </w:r>
          </w:p>
        </w:tc>
        <w:tc>
          <w:tcPr>
            <w:tcW w:w="1369" w:type="dxa"/>
            <w:vMerge w:val="restart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200</w:t>
            </w:r>
          </w:p>
        </w:tc>
        <w:tc>
          <w:tcPr>
            <w:tcW w:w="136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300</w:t>
            </w:r>
          </w:p>
        </w:tc>
        <w:tc>
          <w:tcPr>
            <w:tcW w:w="1427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∕</w:t>
            </w:r>
          </w:p>
        </w:tc>
        <w:tc>
          <w:tcPr>
            <w:tcW w:w="136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500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陆港型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≥600</w:t>
            </w:r>
          </w:p>
        </w:tc>
        <w:tc>
          <w:tcPr>
            <w:tcW w:w="1369" w:type="dxa"/>
            <w:vMerge w:val="continue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142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年完成集装箱吞吐量</w:t>
            </w:r>
          </w:p>
        </w:tc>
        <w:tc>
          <w:tcPr>
            <w:tcW w:w="182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∕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∕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∕</w:t>
            </w:r>
          </w:p>
        </w:tc>
        <w:tc>
          <w:tcPr>
            <w:tcW w:w="14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60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万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TEU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仓储面积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 10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万平方米（其中，库房仓储面积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≥5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万平方米）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信息服务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具有门户网站、信息管理和服务平台等，可以提供车辆进出管理、运营和统计等服务，平台网页级别（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PR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值）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≥1.0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配套服务</w:t>
            </w:r>
          </w:p>
        </w:tc>
        <w:tc>
          <w:tcPr>
            <w:tcW w:w="7358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可以提供停车、住宿、餐饮、加油（加气、充电）、修理、物业、安保等配套服务，以及工商、税务、金融、保险等政务和商务服务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8720" w:type="dxa"/>
            <w:gridSpan w:val="6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宋体" w:eastAsia="宋体" w:cs="Times New Roman"/>
                <w:sz w:val="20"/>
                <w:szCs w:val="20"/>
              </w:rPr>
              <w:t>注：</w:t>
            </w:r>
          </w:p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1.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物流运营面积占比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=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物流运营面积</w:t>
            </w: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/</w:t>
            </w:r>
            <w:r>
              <w:rPr>
                <w:rFonts w:ascii="Times New Roman" w:hAnsi="宋体" w:eastAsia="宋体" w:cs="Times New Roman"/>
                <w:sz w:val="20"/>
                <w:szCs w:val="20"/>
              </w:rPr>
              <w:t>实际占地面积，其中，物流运营面积包括码头、铁路装卸线、道路、仓库、堆场、雨棚、流通加工场所、货车停车场、装卸搬运场地、信息服务用地等，不包括生活配套和商务配套用地。</w:t>
            </w:r>
          </w:p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2.仓储面积，指园区拥有的库房及堆场等仓储设施面积之和。</w:t>
            </w:r>
          </w:p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3.园区物流强度=园区年度货物吞吐量/园区总占地面积，单位：万吨/km²·年</w:t>
            </w:r>
          </w:p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4.快递物流园区年处理邮件量≥5000万件，冷链物流园区的冷藏冷冻仓库≥10万立方米，</w:t>
            </w:r>
          </w:p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粮食物流园区年中转量≥30万吨。</w:t>
            </w:r>
          </w:p>
          <w:p>
            <w:pPr>
              <w:widowControl/>
              <w:spacing w:line="320" w:lineRule="exact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5.如个别指标达不到申报条件，但园区经营模式比较创新、其他指标特别突出的，经市级发展改革部门认可后也可申报。</w:t>
            </w:r>
          </w:p>
        </w:tc>
      </w:tr>
    </w:tbl>
    <w:p>
      <w:pPr>
        <w:spacing w:line="560" w:lineRule="exact"/>
        <w:jc w:val="left"/>
        <w:rPr>
          <w:rFonts w:hint="eastAsia" w:ascii="仿宋_GB2312" w:hAnsi="黑体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EF4AA2"/>
    <w:rsid w:val="4EEF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2019-07-03T07:12:00Z</dcterms:created>
  <dc:creator>张婷婷</dc:creator>
  <cp:lastModifiedBy>张婷婷</cp:lastModifiedBy>
  <dcterms:modified xsi:type="dcterms:W3CDTF">2019-07-03T07:12:38Z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