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ADBC0">
      <w:pPr>
        <w:tabs>
          <w:tab w:val="left" w:pos="1966"/>
        </w:tabs>
        <w:bidi w:val="0"/>
        <w:jc w:val="center"/>
        <w:rPr>
          <w:rStyle w:val="4"/>
          <w:rFonts w:hint="default" w:ascii="Times New Roman" w:hAnsi="Times New Roman" w:eastAsia="方正小标宋简体" w:cs="Times New Roman"/>
          <w:color w:val="000000"/>
          <w:w w:val="100"/>
          <w:sz w:val="44"/>
          <w:szCs w:val="44"/>
          <w:highlight w:val="none"/>
          <w:lang w:eastAsia="zh-CN"/>
        </w:rPr>
      </w:pPr>
      <w:r>
        <w:rPr>
          <w:rStyle w:val="4"/>
          <w:rFonts w:hint="default" w:ascii="Times New Roman" w:hAnsi="Times New Roman" w:eastAsia="方正小标宋简体" w:cs="Times New Roman"/>
          <w:color w:val="000000"/>
          <w:w w:val="100"/>
          <w:sz w:val="44"/>
          <w:szCs w:val="44"/>
          <w:highlight w:val="none"/>
          <w:lang w:val="en-US" w:eastAsia="zh-CN"/>
        </w:rPr>
        <w:t>2025年3</w:t>
      </w:r>
      <w:r>
        <w:rPr>
          <w:rStyle w:val="4"/>
          <w:rFonts w:hint="default" w:ascii="Times New Roman" w:hAnsi="Times New Roman" w:eastAsia="方正小标宋简体" w:cs="Times New Roman"/>
          <w:color w:val="000000"/>
          <w:w w:val="100"/>
          <w:sz w:val="44"/>
          <w:szCs w:val="44"/>
          <w:highlight w:val="none"/>
          <w:lang w:eastAsia="zh-CN"/>
        </w:rPr>
        <w:t>0项民生实事</w:t>
      </w:r>
      <w:r>
        <w:rPr>
          <w:rStyle w:val="4"/>
          <w:rFonts w:hint="default" w:ascii="Times New Roman" w:hAnsi="Times New Roman" w:eastAsia="方正小标宋简体" w:cs="Times New Roman"/>
          <w:color w:val="000000"/>
          <w:w w:val="100"/>
          <w:sz w:val="44"/>
          <w:szCs w:val="44"/>
          <w:highlight w:val="none"/>
          <w:lang w:val="en-US" w:eastAsia="zh-CN"/>
        </w:rPr>
        <w:t>1-</w:t>
      </w:r>
      <w:r>
        <w:rPr>
          <w:rStyle w:val="4"/>
          <w:rFonts w:hint="eastAsia" w:ascii="Times New Roman" w:hAnsi="Times New Roman" w:eastAsia="方正小标宋简体" w:cs="Times New Roman"/>
          <w:color w:val="000000"/>
          <w:w w:val="100"/>
          <w:sz w:val="44"/>
          <w:szCs w:val="44"/>
          <w:highlight w:val="none"/>
          <w:lang w:val="en-US" w:eastAsia="zh-CN"/>
        </w:rPr>
        <w:t>9</w:t>
      </w:r>
      <w:r>
        <w:rPr>
          <w:rStyle w:val="4"/>
          <w:rFonts w:hint="default" w:ascii="Times New Roman" w:hAnsi="Times New Roman" w:eastAsia="方正小标宋简体" w:cs="Times New Roman"/>
          <w:color w:val="000000"/>
          <w:w w:val="100"/>
          <w:sz w:val="44"/>
          <w:szCs w:val="44"/>
          <w:highlight w:val="none"/>
          <w:lang w:val="en-US" w:eastAsia="zh-CN"/>
        </w:rPr>
        <w:t>月份进展情况</w:t>
      </w:r>
      <w:r>
        <w:rPr>
          <w:rStyle w:val="4"/>
          <w:rFonts w:hint="default" w:ascii="Times New Roman" w:hAnsi="Times New Roman" w:eastAsia="方正小标宋简体" w:cs="Times New Roman"/>
          <w:color w:val="000000"/>
          <w:w w:val="100"/>
          <w:sz w:val="44"/>
          <w:szCs w:val="44"/>
          <w:highlight w:val="none"/>
          <w:lang w:eastAsia="zh-CN"/>
        </w:rPr>
        <w:t>表</w:t>
      </w:r>
    </w:p>
    <w:tbl>
      <w:tblPr>
        <w:tblStyle w:val="2"/>
        <w:tblW w:w="49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60"/>
        <w:gridCol w:w="3805"/>
        <w:gridCol w:w="9413"/>
      </w:tblGrid>
      <w:tr w14:paraId="52B5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99" w:type="pct"/>
            <w:tcBorders>
              <w:tl2br w:val="nil"/>
              <w:tr2bl w:val="nil"/>
            </w:tcBorders>
            <w:noWrap w:val="0"/>
            <w:vAlign w:val="center"/>
          </w:tcPr>
          <w:p w14:paraId="1C903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序号</w:t>
            </w:r>
          </w:p>
        </w:tc>
        <w:tc>
          <w:tcPr>
            <w:tcW w:w="260" w:type="pct"/>
            <w:tcBorders>
              <w:tl2br w:val="nil"/>
              <w:tr2bl w:val="nil"/>
            </w:tcBorders>
            <w:noWrap w:val="0"/>
            <w:vAlign w:val="center"/>
          </w:tcPr>
          <w:p w14:paraId="5FED8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牵头单位</w:t>
            </w:r>
          </w:p>
        </w:tc>
        <w:tc>
          <w:tcPr>
            <w:tcW w:w="1306" w:type="pct"/>
            <w:tcBorders>
              <w:tl2br w:val="nil"/>
              <w:tr2bl w:val="nil"/>
            </w:tcBorders>
            <w:noWrap w:val="0"/>
            <w:vAlign w:val="center"/>
          </w:tcPr>
          <w:p w14:paraId="440B0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年度目标任务</w:t>
            </w:r>
          </w:p>
        </w:tc>
        <w:tc>
          <w:tcPr>
            <w:tcW w:w="3233" w:type="pct"/>
            <w:tcBorders>
              <w:tl2br w:val="nil"/>
              <w:tr2bl w:val="nil"/>
            </w:tcBorders>
            <w:noWrap w:val="0"/>
            <w:vAlign w:val="center"/>
          </w:tcPr>
          <w:p w14:paraId="46D43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color w:val="000000"/>
                <w:sz w:val="24"/>
                <w:szCs w:val="24"/>
                <w:highlight w:val="none"/>
                <w:lang w:val="en-US" w:eastAsia="zh-CN" w:bidi="ar"/>
              </w:rPr>
            </w:pPr>
            <w:r>
              <w:rPr>
                <w:rFonts w:hint="default" w:ascii="Times New Roman" w:hAnsi="Times New Roman" w:eastAsia="黑体" w:cs="Times New Roman"/>
                <w:color w:val="000000"/>
                <w:sz w:val="24"/>
                <w:szCs w:val="24"/>
                <w:highlight w:val="none"/>
                <w:u w:val="none"/>
                <w:lang w:val="en-US" w:eastAsia="zh-CN" w:bidi="ar"/>
              </w:rPr>
              <w:t>工作进展</w:t>
            </w:r>
          </w:p>
        </w:tc>
      </w:tr>
      <w:tr w14:paraId="7AC6E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0" w:hRule="atLeast"/>
          <w:jc w:val="center"/>
        </w:trPr>
        <w:tc>
          <w:tcPr>
            <w:tcW w:w="199" w:type="pct"/>
            <w:vMerge w:val="restart"/>
            <w:tcBorders>
              <w:tl2br w:val="nil"/>
              <w:tr2bl w:val="nil"/>
            </w:tcBorders>
            <w:noWrap w:val="0"/>
            <w:vAlign w:val="center"/>
          </w:tcPr>
          <w:p w14:paraId="50774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c>
          <w:tcPr>
            <w:tcW w:w="260" w:type="pct"/>
            <w:vMerge w:val="restart"/>
            <w:tcBorders>
              <w:tl2br w:val="nil"/>
              <w:tr2bl w:val="nil"/>
            </w:tcBorders>
            <w:noWrap w:val="0"/>
            <w:vAlign w:val="center"/>
          </w:tcPr>
          <w:p w14:paraId="1C083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1306" w:type="pct"/>
            <w:tcBorders>
              <w:tl2br w:val="nil"/>
              <w:tr2bl w:val="nil"/>
            </w:tcBorders>
            <w:noWrap w:val="0"/>
            <w:vAlign w:val="center"/>
          </w:tcPr>
          <w:p w14:paraId="0EFAD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（1）实施促进重点人群就业行动，对符合条件的毕业生按照1500元/人的标准集中发放一次性求职补贴。</w:t>
            </w:r>
          </w:p>
        </w:tc>
        <w:tc>
          <w:tcPr>
            <w:tcW w:w="3233" w:type="pct"/>
            <w:tcBorders>
              <w:tl2br w:val="nil"/>
              <w:tr2bl w:val="nil"/>
            </w:tcBorders>
            <w:noWrap w:val="0"/>
            <w:vAlign w:val="center"/>
          </w:tcPr>
          <w:p w14:paraId="76BD067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rPr>
              <w:t>2025届毕业生求职补贴常态化发放阶段：根据《关于做好2025届困难毕业生求职补贴信息化发放工作的通知》要求，经网上自愿申请、系统/人工校验审核、网上公示等阶段，</w:t>
            </w:r>
            <w:r>
              <w:rPr>
                <w:rFonts w:hint="default" w:ascii="Times New Roman" w:hAnsi="Times New Roman" w:eastAsia="仿宋_GB2312" w:cs="Times New Roman"/>
                <w:color w:val="auto"/>
                <w:sz w:val="24"/>
                <w:highlight w:val="none"/>
                <w:lang w:val="en-US" w:eastAsia="zh-CN"/>
              </w:rPr>
              <w:t>全市</w:t>
            </w:r>
            <w:r>
              <w:rPr>
                <w:rFonts w:hint="default" w:ascii="Times New Roman" w:hAnsi="Times New Roman" w:eastAsia="仿宋_GB2312" w:cs="Times New Roman"/>
                <w:color w:val="auto"/>
                <w:sz w:val="24"/>
                <w:highlight w:val="none"/>
              </w:rPr>
              <w:t>已发放补贴</w:t>
            </w:r>
            <w:r>
              <w:rPr>
                <w:rFonts w:hint="default" w:ascii="Times New Roman" w:hAnsi="Times New Roman" w:eastAsia="仿宋_GB2312" w:cs="Times New Roman"/>
                <w:color w:val="auto"/>
                <w:sz w:val="24"/>
                <w:highlight w:val="none"/>
                <w:lang w:val="en-US" w:eastAsia="zh-CN"/>
              </w:rPr>
              <w:t>196</w:t>
            </w:r>
            <w:r>
              <w:rPr>
                <w:rFonts w:hint="default" w:ascii="Times New Roman" w:hAnsi="Times New Roman" w:eastAsia="仿宋_GB2312" w:cs="Times New Roman"/>
                <w:color w:val="auto"/>
                <w:sz w:val="24"/>
                <w:highlight w:val="none"/>
              </w:rPr>
              <w:t>人、金额</w:t>
            </w:r>
            <w:r>
              <w:rPr>
                <w:rFonts w:hint="default" w:ascii="Times New Roman" w:hAnsi="Times New Roman" w:eastAsia="仿宋_GB2312" w:cs="Times New Roman"/>
                <w:color w:val="auto"/>
                <w:sz w:val="24"/>
                <w:highlight w:val="none"/>
                <w:lang w:val="en-US" w:eastAsia="zh-CN"/>
              </w:rPr>
              <w:t>29.4</w:t>
            </w:r>
            <w:r>
              <w:rPr>
                <w:rFonts w:hint="default" w:ascii="Times New Roman" w:hAnsi="Times New Roman" w:eastAsia="仿宋_GB2312" w:cs="Times New Roman"/>
                <w:color w:val="auto"/>
                <w:sz w:val="24"/>
                <w:highlight w:val="none"/>
              </w:rPr>
              <w:t>万元。</w:t>
            </w:r>
          </w:p>
          <w:p w14:paraId="1EB7B13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auto"/>
                <w:sz w:val="24"/>
                <w:highlight w:val="none"/>
                <w:lang w:val="en-US" w:eastAsia="zh-CN"/>
              </w:rPr>
              <w:t>2、</w:t>
            </w:r>
            <w:r>
              <w:rPr>
                <w:rFonts w:hint="default" w:ascii="Times New Roman" w:hAnsi="Times New Roman" w:eastAsia="仿宋_GB2312" w:cs="Times New Roman"/>
                <w:color w:val="auto"/>
                <w:sz w:val="24"/>
                <w:highlight w:val="none"/>
              </w:rPr>
              <w:t>2026届毕业生求职补贴集中发放阶段：省人社厅关于2026届毕业生求职补贴信息化发放工作的通知尚未出台，目前已完成资金预算，按往年流程进行网上答疑等前期工作。</w:t>
            </w:r>
          </w:p>
        </w:tc>
      </w:tr>
      <w:tr w14:paraId="4FFC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0" w:hRule="atLeast"/>
          <w:jc w:val="center"/>
        </w:trPr>
        <w:tc>
          <w:tcPr>
            <w:tcW w:w="199" w:type="pct"/>
            <w:vMerge w:val="continue"/>
            <w:tcBorders>
              <w:tl2br w:val="nil"/>
              <w:tr2bl w:val="nil"/>
            </w:tcBorders>
            <w:noWrap w:val="0"/>
            <w:vAlign w:val="center"/>
          </w:tcPr>
          <w:p w14:paraId="0465ADB8">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2A5BE579">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0"/>
            <w:vAlign w:val="center"/>
          </w:tcPr>
          <w:p w14:paraId="5412F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（2）推进“三公里”就业圈全覆盖，累计建成线下实体零工市场9个、零工驿站16个。</w:t>
            </w:r>
          </w:p>
        </w:tc>
        <w:tc>
          <w:tcPr>
            <w:tcW w:w="3233" w:type="pct"/>
            <w:tcBorders>
              <w:tl2br w:val="nil"/>
              <w:tr2bl w:val="nil"/>
            </w:tcBorders>
            <w:noWrap w:val="0"/>
            <w:vAlign w:val="center"/>
          </w:tcPr>
          <w:p w14:paraId="697EF96E">
            <w:pPr>
              <w:keepNext w:val="0"/>
              <w:keepLines w:val="0"/>
              <w:pageBreakBefore w:val="0"/>
              <w:widowControl/>
              <w:kinsoku/>
              <w:wordWrap/>
              <w:overflowPunct/>
              <w:topLinePunct w:val="0"/>
              <w:autoSpaceDE/>
              <w:autoSpaceDN/>
              <w:bidi w:val="0"/>
              <w:snapToGrid/>
              <w:spacing w:line="260" w:lineRule="exact"/>
              <w:jc w:val="left"/>
              <w:rPr>
                <w:rFonts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w:t>
            </w:r>
            <w:r>
              <w:rPr>
                <w:rFonts w:ascii="Times New Roman" w:hAnsi="Times New Roman" w:eastAsia="仿宋_GB2312" w:cs="Times New Roman"/>
                <w:color w:val="000000"/>
                <w:sz w:val="24"/>
                <w:highlight w:val="none"/>
                <w:lang w:val="en-US" w:eastAsia="zh-CN"/>
              </w:rPr>
              <w:t>截至9月底，</w:t>
            </w:r>
            <w:r>
              <w:rPr>
                <w:rFonts w:ascii="Times New Roman" w:hAnsi="Times New Roman" w:eastAsia="仿宋_GB2312" w:cs="Times New Roman"/>
                <w:color w:val="000000"/>
                <w:sz w:val="24"/>
                <w:highlight w:val="none"/>
                <w:lang w:eastAsia="zh-CN"/>
              </w:rPr>
              <w:t>全市</w:t>
            </w:r>
            <w:r>
              <w:rPr>
                <w:rFonts w:hint="eastAsia" w:ascii="Times New Roman" w:hAnsi="Times New Roman" w:eastAsia="仿宋_GB2312" w:cs="Times New Roman"/>
                <w:color w:val="000000"/>
                <w:sz w:val="24"/>
                <w:highlight w:val="none"/>
                <w:lang w:val="en-US" w:eastAsia="zh-CN"/>
              </w:rPr>
              <w:t>9个</w:t>
            </w:r>
            <w:r>
              <w:rPr>
                <w:rFonts w:ascii="Times New Roman" w:hAnsi="Times New Roman" w:eastAsia="仿宋_GB2312" w:cs="Times New Roman"/>
                <w:color w:val="000000"/>
                <w:sz w:val="24"/>
                <w:highlight w:val="none"/>
                <w:lang w:eastAsia="zh-CN"/>
              </w:rPr>
              <w:t>零工市场</w:t>
            </w:r>
            <w:r>
              <w:rPr>
                <w:rFonts w:ascii="Times New Roman" w:hAnsi="Times New Roman" w:eastAsia="仿宋_GB2312" w:cs="Times New Roman"/>
                <w:color w:val="000000"/>
                <w:sz w:val="24"/>
                <w:highlight w:val="none"/>
                <w:lang w:val="en-US" w:eastAsia="zh-CN"/>
              </w:rPr>
              <w:t>已全部建设完成，完成率100%。</w:t>
            </w:r>
          </w:p>
          <w:p w14:paraId="42599E77">
            <w:pPr>
              <w:keepNext w:val="0"/>
              <w:keepLines w:val="0"/>
              <w:pageBreakBefore w:val="0"/>
              <w:widowControl/>
              <w:kinsoku/>
              <w:wordWrap/>
              <w:overflowPunct/>
              <w:topLinePunct w:val="0"/>
              <w:autoSpaceDE/>
              <w:autoSpaceDN/>
              <w:bidi w:val="0"/>
              <w:adjustRightInd/>
              <w:snapToGrid/>
              <w:spacing w:line="26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color w:val="000000"/>
                <w:sz w:val="24"/>
                <w:highlight w:val="none"/>
                <w:lang w:val="en-US" w:eastAsia="zh-CN"/>
              </w:rPr>
              <w:t>2、截至9月底，全市16</w:t>
            </w:r>
            <w:r>
              <w:rPr>
                <w:rFonts w:ascii="Times New Roman" w:hAnsi="Times New Roman" w:eastAsia="仿宋_GB2312" w:cs="Times New Roman"/>
                <w:color w:val="000000"/>
                <w:sz w:val="24"/>
                <w:highlight w:val="none"/>
                <w:lang w:val="en-US" w:eastAsia="zh-CN"/>
              </w:rPr>
              <w:t>零工驿站</w:t>
            </w:r>
            <w:r>
              <w:rPr>
                <w:rFonts w:hint="eastAsia" w:ascii="Times New Roman" w:hAnsi="Times New Roman" w:eastAsia="仿宋_GB2312" w:cs="Times New Roman"/>
                <w:color w:val="000000"/>
                <w:sz w:val="24"/>
                <w:highlight w:val="none"/>
                <w:lang w:val="en-US" w:eastAsia="zh-CN"/>
              </w:rPr>
              <w:t>已全部建设完成，完成率100%。</w:t>
            </w:r>
          </w:p>
        </w:tc>
      </w:tr>
      <w:tr w14:paraId="5178F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0" w:hRule="atLeast"/>
          <w:jc w:val="center"/>
        </w:trPr>
        <w:tc>
          <w:tcPr>
            <w:tcW w:w="199" w:type="pct"/>
            <w:tcBorders>
              <w:tl2br w:val="nil"/>
              <w:tr2bl w:val="nil"/>
            </w:tcBorders>
            <w:noWrap w:val="0"/>
            <w:vAlign w:val="center"/>
          </w:tcPr>
          <w:p w14:paraId="43E64C88">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center"/>
              <w:textAlignment w:val="center"/>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p>
          <w:p w14:paraId="4DCB2096">
            <w:pPr>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kern w:val="2"/>
                <w:sz w:val="24"/>
                <w:szCs w:val="24"/>
                <w:highlight w:val="none"/>
                <w:lang w:val="en-US" w:eastAsia="zh-CN" w:bidi="ar-SA"/>
              </w:rPr>
              <w:t>2</w:t>
            </w:r>
          </w:p>
        </w:tc>
        <w:tc>
          <w:tcPr>
            <w:tcW w:w="260" w:type="pct"/>
            <w:tcBorders>
              <w:tl2br w:val="nil"/>
              <w:tr2bl w:val="nil"/>
            </w:tcBorders>
            <w:noWrap w:val="0"/>
            <w:vAlign w:val="center"/>
          </w:tcPr>
          <w:p w14:paraId="78DE5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市商务局</w:t>
            </w:r>
          </w:p>
        </w:tc>
        <w:tc>
          <w:tcPr>
            <w:tcW w:w="1306" w:type="pct"/>
            <w:tcBorders>
              <w:tl2br w:val="nil"/>
              <w:tr2bl w:val="nil"/>
            </w:tcBorders>
            <w:noWrap w:val="0"/>
            <w:vAlign w:val="center"/>
          </w:tcPr>
          <w:p w14:paraId="7985B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（3）实施放心家政行动，培训家政服务人员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1万</w:t>
            </w:r>
            <w:r>
              <w:rPr>
                <w:rFonts w:hint="default" w:ascii="Times New Roman" w:hAnsi="Times New Roman" w:eastAsia="仿宋_GB2312" w:cs="Times New Roman"/>
                <w:b w:val="0"/>
                <w:bCs/>
                <w:color w:val="000000"/>
                <w:sz w:val="24"/>
                <w:szCs w:val="24"/>
                <w:highlight w:val="none"/>
                <w:u w:val="none"/>
                <w:lang w:val="en-US" w:eastAsia="zh-CN"/>
              </w:rPr>
              <w:t>人次，新增家政服务人员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5000</w:t>
            </w:r>
            <w:r>
              <w:rPr>
                <w:rFonts w:hint="default" w:ascii="Times New Roman" w:hAnsi="Times New Roman" w:eastAsia="仿宋_GB2312" w:cs="Times New Roman"/>
                <w:b w:val="0"/>
                <w:bCs/>
                <w:color w:val="000000"/>
                <w:sz w:val="24"/>
                <w:szCs w:val="24"/>
                <w:highlight w:val="none"/>
                <w:u w:val="none"/>
                <w:lang w:val="en-US" w:eastAsia="zh-CN"/>
              </w:rPr>
              <w:t>人。</w:t>
            </w:r>
          </w:p>
        </w:tc>
        <w:tc>
          <w:tcPr>
            <w:tcW w:w="3233" w:type="pct"/>
            <w:tcBorders>
              <w:tl2br w:val="nil"/>
              <w:tr2bl w:val="nil"/>
            </w:tcBorders>
            <w:noWrap w:val="0"/>
            <w:vAlign w:val="center"/>
          </w:tcPr>
          <w:p w14:paraId="56C7E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1、截至</w:t>
            </w:r>
            <w:r>
              <w:rPr>
                <w:rFonts w:hint="eastAsia" w:ascii="Times New Roman" w:hAnsi="Times New Roman" w:eastAsia="仿宋_GB2312" w:cs="Times New Roman"/>
                <w:i w:val="0"/>
                <w:iCs w:val="0"/>
                <w:color w:val="auto"/>
                <w:sz w:val="24"/>
                <w:szCs w:val="24"/>
                <w:highlight w:val="none"/>
                <w:u w:val="none"/>
                <w:lang w:val="en-US" w:eastAsia="zh-CN"/>
              </w:rPr>
              <w:t>9</w:t>
            </w:r>
            <w:r>
              <w:rPr>
                <w:rFonts w:hint="default" w:ascii="Times New Roman" w:hAnsi="Times New Roman" w:eastAsia="仿宋_GB2312" w:cs="Times New Roman"/>
                <w:i w:val="0"/>
                <w:iCs w:val="0"/>
                <w:color w:val="auto"/>
                <w:sz w:val="24"/>
                <w:szCs w:val="24"/>
                <w:highlight w:val="none"/>
                <w:u w:val="none"/>
                <w:lang w:val="en-US" w:eastAsia="zh-CN"/>
              </w:rPr>
              <w:t>月底，已完成家政服务人员培训</w:t>
            </w:r>
            <w:r>
              <w:rPr>
                <w:rFonts w:hint="eastAsia" w:ascii="Times New Roman" w:hAnsi="Times New Roman" w:eastAsia="仿宋_GB2312" w:cs="Times New Roman"/>
                <w:i w:val="0"/>
                <w:iCs w:val="0"/>
                <w:color w:val="auto"/>
                <w:sz w:val="24"/>
                <w:szCs w:val="24"/>
                <w:highlight w:val="none"/>
                <w:u w:val="none"/>
                <w:lang w:val="en-US" w:eastAsia="zh-CN"/>
              </w:rPr>
              <w:t>10250</w:t>
            </w:r>
            <w:r>
              <w:rPr>
                <w:rFonts w:hint="default" w:ascii="Times New Roman" w:hAnsi="Times New Roman" w:eastAsia="仿宋_GB2312" w:cs="Times New Roman"/>
                <w:i w:val="0"/>
                <w:iCs w:val="0"/>
                <w:color w:val="auto"/>
                <w:sz w:val="24"/>
                <w:szCs w:val="24"/>
                <w:highlight w:val="none"/>
                <w:u w:val="none"/>
                <w:lang w:val="en-US" w:eastAsia="zh-CN"/>
              </w:rPr>
              <w:t>人次，任务完成率</w:t>
            </w:r>
            <w:r>
              <w:rPr>
                <w:rFonts w:hint="eastAsia" w:ascii="Times New Roman" w:hAnsi="Times New Roman" w:eastAsia="仿宋_GB2312" w:cs="Times New Roman"/>
                <w:i w:val="0"/>
                <w:iCs w:val="0"/>
                <w:color w:val="auto"/>
                <w:sz w:val="24"/>
                <w:szCs w:val="24"/>
                <w:highlight w:val="none"/>
                <w:u w:val="none"/>
                <w:lang w:val="en-US" w:eastAsia="zh-CN"/>
              </w:rPr>
              <w:t>102.5</w:t>
            </w:r>
            <w:r>
              <w:rPr>
                <w:rFonts w:hint="default" w:ascii="Times New Roman" w:hAnsi="Times New Roman" w:eastAsia="仿宋_GB2312" w:cs="Times New Roman"/>
                <w:i w:val="0"/>
                <w:iCs w:val="0"/>
                <w:color w:val="auto"/>
                <w:sz w:val="24"/>
                <w:szCs w:val="24"/>
                <w:highlight w:val="none"/>
                <w:u w:val="none"/>
                <w:lang w:val="en-US" w:eastAsia="zh-CN"/>
              </w:rPr>
              <w:t>%</w:t>
            </w:r>
            <w:r>
              <w:rPr>
                <w:rFonts w:hint="eastAsia" w:ascii="Times New Roman" w:hAnsi="Times New Roman" w:eastAsia="仿宋_GB2312" w:cs="Times New Roman"/>
                <w:i w:val="0"/>
                <w:iCs w:val="0"/>
                <w:color w:val="auto"/>
                <w:sz w:val="24"/>
                <w:szCs w:val="24"/>
                <w:highlight w:val="none"/>
                <w:u w:val="none"/>
                <w:lang w:val="en-US" w:eastAsia="zh-CN"/>
              </w:rPr>
              <w:t>。</w:t>
            </w:r>
          </w:p>
          <w:p w14:paraId="4959A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2、新增家政服务人员</w:t>
            </w:r>
            <w:r>
              <w:rPr>
                <w:rFonts w:hint="eastAsia" w:ascii="Times New Roman" w:hAnsi="Times New Roman" w:eastAsia="仿宋_GB2312" w:cs="Times New Roman"/>
                <w:i w:val="0"/>
                <w:iCs w:val="0"/>
                <w:color w:val="auto"/>
                <w:sz w:val="24"/>
                <w:szCs w:val="24"/>
                <w:highlight w:val="none"/>
                <w:u w:val="none"/>
                <w:lang w:val="en-US" w:eastAsia="zh-CN"/>
              </w:rPr>
              <w:t>5012</w:t>
            </w: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100.2</w:t>
            </w:r>
            <w:r>
              <w:rPr>
                <w:rFonts w:hint="default" w:ascii="Times New Roman" w:hAnsi="Times New Roman" w:eastAsia="仿宋_GB2312" w:cs="Times New Roman"/>
                <w:i w:val="0"/>
                <w:iCs w:val="0"/>
                <w:color w:val="auto"/>
                <w:sz w:val="24"/>
                <w:szCs w:val="24"/>
                <w:highlight w:val="none"/>
                <w:u w:val="none"/>
                <w:lang w:val="en-US" w:eastAsia="zh-CN"/>
              </w:rPr>
              <w:t>%。</w:t>
            </w:r>
          </w:p>
        </w:tc>
      </w:tr>
      <w:tr w14:paraId="46B23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5" w:hRule="atLeast"/>
          <w:jc w:val="center"/>
        </w:trPr>
        <w:tc>
          <w:tcPr>
            <w:tcW w:w="199" w:type="pct"/>
            <w:vMerge w:val="restart"/>
            <w:tcBorders>
              <w:tl2br w:val="nil"/>
              <w:tr2bl w:val="nil"/>
            </w:tcBorders>
            <w:noWrap w:val="0"/>
            <w:vAlign w:val="center"/>
          </w:tcPr>
          <w:p w14:paraId="3AF13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w:t>
            </w:r>
          </w:p>
        </w:tc>
        <w:tc>
          <w:tcPr>
            <w:tcW w:w="260" w:type="pct"/>
            <w:vMerge w:val="restart"/>
            <w:tcBorders>
              <w:tl2br w:val="nil"/>
              <w:tr2bl w:val="nil"/>
            </w:tcBorders>
            <w:noWrap w:val="0"/>
            <w:vAlign w:val="center"/>
          </w:tcPr>
          <w:p w14:paraId="55FA4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1306" w:type="pct"/>
            <w:tcBorders>
              <w:tl2br w:val="nil"/>
              <w:tr2bl w:val="nil"/>
            </w:tcBorders>
            <w:noWrap w:val="0"/>
            <w:vAlign w:val="center"/>
          </w:tcPr>
          <w:p w14:paraId="4B18A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（4）加快城乡养老服务体系建设，建设社区嵌入式养老服务机构（综合体）不少于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9</w:t>
            </w:r>
            <w:r>
              <w:rPr>
                <w:rFonts w:hint="default" w:ascii="Times New Roman" w:hAnsi="Times New Roman" w:eastAsia="仿宋_GB2312" w:cs="Times New Roman"/>
                <w:b w:val="0"/>
                <w:bCs/>
                <w:color w:val="000000"/>
                <w:sz w:val="24"/>
                <w:szCs w:val="24"/>
                <w:highlight w:val="none"/>
                <w:u w:val="none"/>
                <w:lang w:val="en-US" w:eastAsia="zh-CN"/>
              </w:rPr>
              <w:t>个、农村幸福院不少于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val="en-US" w:eastAsia="zh-CN"/>
              </w:rPr>
              <w:t>个。</w:t>
            </w:r>
          </w:p>
        </w:tc>
        <w:tc>
          <w:tcPr>
            <w:tcW w:w="3233" w:type="pct"/>
            <w:tcBorders>
              <w:tl2br w:val="nil"/>
              <w:tr2bl w:val="nil"/>
            </w:tcBorders>
            <w:noWrap w:val="0"/>
            <w:vAlign w:val="center"/>
          </w:tcPr>
          <w:p w14:paraId="14268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eastAsia="zh-CN"/>
              </w:rPr>
            </w:pPr>
            <w:r>
              <w:rPr>
                <w:rFonts w:hint="default"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eastAsia="zh-CN"/>
              </w:rPr>
              <w:t>社区嵌入式养老服务机构（综合体）：大通区九龙岗镇、经开区、谢家集区</w:t>
            </w:r>
            <w:r>
              <w:rPr>
                <w:rFonts w:hint="default" w:ascii="Times New Roman" w:hAnsi="Times New Roman" w:eastAsia="仿宋_GB2312" w:cs="Times New Roman"/>
                <w:i w:val="0"/>
                <w:iCs w:val="0"/>
                <w:color w:val="000000"/>
                <w:sz w:val="24"/>
                <w:szCs w:val="24"/>
                <w:highlight w:val="none"/>
                <w:u w:val="none"/>
                <w:lang w:val="en-US" w:eastAsia="zh-CN"/>
              </w:rPr>
              <w:t>3家</w:t>
            </w:r>
            <w:r>
              <w:rPr>
                <w:rFonts w:hint="default" w:ascii="Times New Roman" w:hAnsi="Times New Roman" w:eastAsia="仿宋_GB2312" w:cs="Times New Roman"/>
                <w:i w:val="0"/>
                <w:iCs w:val="0"/>
                <w:color w:val="000000"/>
                <w:sz w:val="24"/>
                <w:szCs w:val="24"/>
                <w:highlight w:val="none"/>
                <w:u w:val="none"/>
                <w:lang w:eastAsia="zh-CN"/>
              </w:rPr>
              <w:t>社区嵌入式养老服务机构已完成建设。凤台县城关镇龙潭社区、田家庵区陈岗社区、潘集区大庄社区、寿县状元社区、八公山区八公山镇</w:t>
            </w:r>
            <w:r>
              <w:rPr>
                <w:rFonts w:hint="default" w:ascii="Times New Roman" w:hAnsi="Times New Roman" w:eastAsia="仿宋_GB2312" w:cs="Times New Roman"/>
                <w:i w:val="0"/>
                <w:iCs w:val="0"/>
                <w:color w:val="000000"/>
                <w:sz w:val="24"/>
                <w:szCs w:val="24"/>
                <w:highlight w:val="none"/>
                <w:u w:val="none"/>
                <w:lang w:val="en-US" w:eastAsia="zh-CN"/>
              </w:rPr>
              <w:t>5家</w:t>
            </w:r>
            <w:r>
              <w:rPr>
                <w:rFonts w:hint="default" w:ascii="Times New Roman" w:hAnsi="Times New Roman" w:eastAsia="仿宋_GB2312" w:cs="Times New Roman"/>
                <w:i w:val="0"/>
                <w:iCs w:val="0"/>
                <w:color w:val="000000"/>
                <w:sz w:val="24"/>
                <w:szCs w:val="24"/>
                <w:highlight w:val="none"/>
                <w:u w:val="none"/>
                <w:lang w:eastAsia="zh-CN"/>
              </w:rPr>
              <w:t>嵌入式养老服务机构正在进行消防改造和装饰装修施工。高新区嵌入式项目已挂网招标。</w:t>
            </w:r>
          </w:p>
          <w:p w14:paraId="417A8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eastAsia="zh-CN"/>
              </w:rPr>
              <w:t>农村幸福院建成</w:t>
            </w:r>
            <w:r>
              <w:rPr>
                <w:rFonts w:hint="default" w:ascii="Times New Roman" w:hAnsi="Times New Roman" w:eastAsia="仿宋_GB2312" w:cs="Times New Roman"/>
                <w:i w:val="0"/>
                <w:iCs w:val="0"/>
                <w:color w:val="000000"/>
                <w:sz w:val="24"/>
                <w:szCs w:val="24"/>
                <w:highlight w:val="none"/>
                <w:u w:val="none"/>
                <w:lang w:val="en-US" w:eastAsia="zh-CN"/>
              </w:rPr>
              <w:t>30个，12个正在建设，其中：凤台县8个、寿县4个。</w:t>
            </w:r>
          </w:p>
        </w:tc>
      </w:tr>
      <w:tr w14:paraId="46E3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jc w:val="center"/>
        </w:trPr>
        <w:tc>
          <w:tcPr>
            <w:tcW w:w="199" w:type="pct"/>
            <w:vMerge w:val="continue"/>
            <w:tcBorders>
              <w:tl2br w:val="nil"/>
              <w:tr2bl w:val="nil"/>
            </w:tcBorders>
            <w:noWrap w:val="0"/>
            <w:vAlign w:val="center"/>
          </w:tcPr>
          <w:p w14:paraId="75F0552D">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52D69A5D">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1306" w:type="pct"/>
            <w:tcBorders>
              <w:tl2br w:val="nil"/>
              <w:tr2bl w:val="nil"/>
            </w:tcBorders>
            <w:noWrap w:val="0"/>
            <w:vAlign w:val="center"/>
          </w:tcPr>
          <w:p w14:paraId="7E3B0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（5）对公建公营农村敬老院按照平均每年</w:t>
            </w:r>
            <w:r>
              <w:rPr>
                <w:rFonts w:hint="default" w:ascii="Times New Roman" w:hAnsi="Times New Roman" w:eastAsia="仿宋_GB2312" w:cs="Times New Roman"/>
                <w:b w:val="0"/>
                <w:bCs/>
                <w:strike w:val="0"/>
                <w:dstrike w:val="0"/>
                <w:color w:val="000000"/>
                <w:sz w:val="24"/>
                <w:szCs w:val="24"/>
                <w:highlight w:val="none"/>
                <w:u w:val="none"/>
                <w:lang w:val="en-US" w:eastAsia="zh-CN"/>
              </w:rPr>
              <w:t>5</w:t>
            </w:r>
            <w:r>
              <w:rPr>
                <w:rFonts w:hint="default" w:ascii="Times New Roman" w:hAnsi="Times New Roman" w:eastAsia="仿宋_GB2312" w:cs="Times New Roman"/>
                <w:b w:val="0"/>
                <w:bCs/>
                <w:color w:val="000000"/>
                <w:sz w:val="24"/>
                <w:szCs w:val="24"/>
                <w:highlight w:val="none"/>
                <w:u w:val="none"/>
                <w:lang w:val="en-US" w:eastAsia="zh-CN"/>
              </w:rPr>
              <w:t>万元的标准给予补助。</w:t>
            </w:r>
          </w:p>
        </w:tc>
        <w:tc>
          <w:tcPr>
            <w:tcW w:w="3233" w:type="pct"/>
            <w:tcBorders>
              <w:tl2br w:val="nil"/>
              <w:tr2bl w:val="nil"/>
            </w:tcBorders>
            <w:noWrap w:val="0"/>
            <w:vAlign w:val="center"/>
          </w:tcPr>
          <w:p w14:paraId="155181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Style w:val="5"/>
                <w:rFonts w:hint="default" w:ascii="Times New Roman" w:hAnsi="Times New Roman" w:eastAsia="仿宋_GB2312" w:cs="Times New Roman"/>
                <w:i w:val="0"/>
                <w:iCs w:val="0"/>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bidi="ar"/>
              </w:rPr>
              <w:t>市级已按照</w:t>
            </w:r>
            <w:r>
              <w:rPr>
                <w:rFonts w:hint="default" w:ascii="Times New Roman" w:hAnsi="Times New Roman" w:eastAsia="仿宋_GB2312" w:cs="Times New Roman"/>
                <w:b w:val="0"/>
                <w:bCs/>
                <w:sz w:val="24"/>
                <w:szCs w:val="24"/>
                <w:highlight w:val="none"/>
                <w:u w:val="none"/>
                <w:lang w:val="en-US" w:eastAsia="zh-CN"/>
              </w:rPr>
              <w:t>每</w:t>
            </w:r>
            <w:r>
              <w:rPr>
                <w:rFonts w:hint="eastAsia" w:ascii="Times New Roman" w:hAnsi="Times New Roman" w:eastAsia="仿宋_GB2312" w:cs="Times New Roman"/>
                <w:b w:val="0"/>
                <w:bCs/>
                <w:sz w:val="24"/>
                <w:szCs w:val="24"/>
                <w:highlight w:val="none"/>
                <w:u w:val="none"/>
                <w:lang w:val="en-US" w:eastAsia="zh-CN"/>
              </w:rPr>
              <w:t>个敬老院</w:t>
            </w:r>
            <w:r>
              <w:rPr>
                <w:rFonts w:hint="default" w:ascii="Times New Roman" w:hAnsi="Times New Roman" w:eastAsia="仿宋_GB2312" w:cs="Times New Roman"/>
                <w:b w:val="0"/>
                <w:bCs/>
                <w:strike w:val="0"/>
                <w:dstrike w:val="0"/>
                <w:sz w:val="24"/>
                <w:szCs w:val="24"/>
                <w:highlight w:val="none"/>
                <w:u w:val="none"/>
                <w:lang w:val="en-US" w:eastAsia="zh-CN"/>
              </w:rPr>
              <w:t>5</w:t>
            </w:r>
            <w:r>
              <w:rPr>
                <w:rFonts w:hint="default" w:ascii="Times New Roman" w:hAnsi="Times New Roman" w:eastAsia="仿宋_GB2312" w:cs="Times New Roman"/>
                <w:b w:val="0"/>
                <w:bCs/>
                <w:sz w:val="24"/>
                <w:szCs w:val="24"/>
                <w:highlight w:val="none"/>
                <w:u w:val="none"/>
                <w:lang w:val="en-US" w:eastAsia="zh-CN"/>
              </w:rPr>
              <w:t>万元的标准</w:t>
            </w:r>
            <w:r>
              <w:rPr>
                <w:rFonts w:hint="eastAsia" w:ascii="Times New Roman" w:hAnsi="Times New Roman" w:eastAsia="仿宋_GB2312" w:cs="Times New Roman"/>
                <w:b w:val="0"/>
                <w:bCs/>
                <w:sz w:val="24"/>
                <w:szCs w:val="24"/>
                <w:highlight w:val="none"/>
                <w:u w:val="none"/>
                <w:lang w:val="en-US" w:eastAsia="zh-CN"/>
              </w:rPr>
              <w:t>下拨补助资金，共拨付225万元。全市各县区45家公建公营敬老院补助资金均已到位。</w:t>
            </w:r>
          </w:p>
        </w:tc>
      </w:tr>
      <w:tr w14:paraId="55C2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199" w:type="pct"/>
            <w:tcBorders>
              <w:tl2br w:val="nil"/>
              <w:tr2bl w:val="nil"/>
            </w:tcBorders>
            <w:noWrap w:val="0"/>
            <w:vAlign w:val="center"/>
          </w:tcPr>
          <w:p w14:paraId="702F5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4</w:t>
            </w:r>
          </w:p>
        </w:tc>
        <w:tc>
          <w:tcPr>
            <w:tcW w:w="260" w:type="pct"/>
            <w:tcBorders>
              <w:tl2br w:val="nil"/>
              <w:tr2bl w:val="nil"/>
            </w:tcBorders>
            <w:noWrap w:val="0"/>
            <w:vAlign w:val="center"/>
          </w:tcPr>
          <w:p w14:paraId="680B3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1306" w:type="pct"/>
            <w:tcBorders>
              <w:tl2br w:val="nil"/>
              <w:tr2bl w:val="nil"/>
            </w:tcBorders>
            <w:noWrap w:val="0"/>
            <w:vAlign w:val="center"/>
          </w:tcPr>
          <w:p w14:paraId="7C2EE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（6）加强城乡公益性公墓建设管理，推进不少于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w:t>
            </w:r>
            <w:r>
              <w:rPr>
                <w:rFonts w:hint="default" w:ascii="Times New Roman" w:hAnsi="Times New Roman" w:eastAsia="仿宋_GB2312" w:cs="Times New Roman"/>
                <w:b w:val="0"/>
                <w:bCs/>
                <w:color w:val="000000"/>
                <w:sz w:val="24"/>
                <w:szCs w:val="24"/>
                <w:highlight w:val="none"/>
                <w:u w:val="none"/>
                <w:lang w:val="en-US" w:eastAsia="zh-CN"/>
              </w:rPr>
              <w:t>个城乡公益性公墓新建、改扩建或配套设施改造以及提升管理维护水平。</w:t>
            </w:r>
          </w:p>
        </w:tc>
        <w:tc>
          <w:tcPr>
            <w:tcW w:w="3233" w:type="pct"/>
            <w:tcBorders>
              <w:tl2br w:val="nil"/>
              <w:tr2bl w:val="nil"/>
            </w:tcBorders>
            <w:noWrap w:val="0"/>
            <w:vAlign w:val="center"/>
          </w:tcPr>
          <w:p w14:paraId="1D6B7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田家庵区曹庵镇（老圩村）公益性公墓已完工。谢家集区望峰岗镇公益性公墓已完成项目立项、可行性研究报告，初步设计及概算等前期工作，9月2日完成项目施工招标，目前正在施工。潘集区架河镇公益性公墓公墓规划设计、施工图设计、清单控制价编制已完成，9月23日工程施工招标已完成。</w:t>
            </w:r>
          </w:p>
        </w:tc>
      </w:tr>
      <w:tr w14:paraId="7BC7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jc w:val="center"/>
        </w:trPr>
        <w:tc>
          <w:tcPr>
            <w:tcW w:w="199" w:type="pct"/>
            <w:vMerge w:val="restart"/>
            <w:tcBorders>
              <w:tl2br w:val="nil"/>
              <w:tr2bl w:val="nil"/>
            </w:tcBorders>
            <w:noWrap w:val="0"/>
            <w:vAlign w:val="center"/>
          </w:tcPr>
          <w:p w14:paraId="4F00E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5</w:t>
            </w:r>
          </w:p>
        </w:tc>
        <w:tc>
          <w:tcPr>
            <w:tcW w:w="260" w:type="pct"/>
            <w:vMerge w:val="restart"/>
            <w:tcBorders>
              <w:tl2br w:val="nil"/>
              <w:tr2bl w:val="nil"/>
            </w:tcBorders>
            <w:noWrap w:val="0"/>
            <w:vAlign w:val="center"/>
          </w:tcPr>
          <w:p w14:paraId="2ABDC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p w14:paraId="73B74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、市医保局</w:t>
            </w:r>
          </w:p>
        </w:tc>
        <w:tc>
          <w:tcPr>
            <w:tcW w:w="1306" w:type="pct"/>
            <w:tcBorders>
              <w:tl2br w:val="nil"/>
              <w:tr2bl w:val="nil"/>
            </w:tcBorders>
            <w:noWrap w:val="0"/>
            <w:vAlign w:val="center"/>
          </w:tcPr>
          <w:p w14:paraId="5401A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（7）精准做好城乡特困家庭筛查和兜底工作，特困人员基本生活标准按照不低于当地最低生活保障标准的1.3倍确定并按月足额发放。</w:t>
            </w:r>
          </w:p>
        </w:tc>
        <w:tc>
          <w:tcPr>
            <w:tcW w:w="3233" w:type="pct"/>
            <w:tcBorders>
              <w:tl2br w:val="nil"/>
              <w:tr2bl w:val="nil"/>
            </w:tcBorders>
            <w:noWrap w:val="0"/>
            <w:vAlign w:val="center"/>
          </w:tcPr>
          <w:p w14:paraId="35620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1、自7月1日起，城市低保标准提高至每人每月842元。</w:t>
            </w:r>
          </w:p>
          <w:p w14:paraId="2FF37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2、截至9月底，共为16万人次特困人员发放供养经费1.66亿元。为7.7万户困难群众发放夏季一次性送清凉救助补贴216万元。</w:t>
            </w:r>
          </w:p>
          <w:p w14:paraId="5D508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3、市辖区住院护理保险变革赔付方式，采用“等值服务为主、现金赔付为辅”的运行模式，为461人次特困人员提供护理服务，服务累计时长4139天。</w:t>
            </w:r>
          </w:p>
        </w:tc>
      </w:tr>
      <w:tr w14:paraId="177D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99" w:type="pct"/>
            <w:vMerge w:val="continue"/>
            <w:tcBorders>
              <w:tl2br w:val="nil"/>
              <w:tr2bl w:val="nil"/>
            </w:tcBorders>
            <w:noWrap w:val="0"/>
            <w:vAlign w:val="center"/>
          </w:tcPr>
          <w:p w14:paraId="13BB6A73">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6F872A3B">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0"/>
            <w:vAlign w:val="center"/>
          </w:tcPr>
          <w:p w14:paraId="29F04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（8）对困难群众参加城乡居民医保个人缴费部分给予分类资助。</w:t>
            </w:r>
          </w:p>
        </w:tc>
        <w:tc>
          <w:tcPr>
            <w:tcW w:w="3233" w:type="pct"/>
            <w:tcBorders>
              <w:tl2br w:val="nil"/>
              <w:tr2bl w:val="nil"/>
            </w:tcBorders>
            <w:noWrap w:val="0"/>
            <w:vAlign w:val="center"/>
          </w:tcPr>
          <w:p w14:paraId="4953C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u w:val="none"/>
              </w:rPr>
              <w:t>因国家、省局暂未确定2026年城乡居民医保个人缴费金额标准</w:t>
            </w:r>
            <w:r>
              <w:rPr>
                <w:rFonts w:hint="default" w:ascii="Times New Roman" w:hAnsi="Times New Roman" w:eastAsia="仿宋_GB2312" w:cs="Times New Roman"/>
                <w:color w:val="000000"/>
                <w:sz w:val="24"/>
                <w:szCs w:val="24"/>
                <w:highlight w:val="none"/>
                <w:u w:val="none"/>
                <w:lang w:eastAsia="zh-CN"/>
              </w:rPr>
              <w:t>，</w:t>
            </w:r>
            <w:r>
              <w:rPr>
                <w:rFonts w:hint="default" w:ascii="Times New Roman" w:hAnsi="Times New Roman" w:eastAsia="仿宋_GB2312" w:cs="Times New Roman"/>
                <w:color w:val="000000"/>
                <w:sz w:val="24"/>
                <w:szCs w:val="24"/>
                <w:highlight w:val="none"/>
                <w:u w:val="none"/>
                <w:lang w:val="en-US" w:eastAsia="zh-CN"/>
              </w:rPr>
              <w:t>预计征缴期于11月开始。</w:t>
            </w:r>
          </w:p>
        </w:tc>
      </w:tr>
      <w:tr w14:paraId="0A44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99" w:type="pct"/>
            <w:vMerge w:val="restart"/>
            <w:tcBorders>
              <w:tl2br w:val="nil"/>
              <w:tr2bl w:val="nil"/>
            </w:tcBorders>
            <w:noWrap w:val="0"/>
            <w:vAlign w:val="center"/>
          </w:tcPr>
          <w:p w14:paraId="3383D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6</w:t>
            </w:r>
          </w:p>
        </w:tc>
        <w:tc>
          <w:tcPr>
            <w:tcW w:w="260" w:type="pct"/>
            <w:vMerge w:val="restart"/>
            <w:tcBorders>
              <w:tl2br w:val="nil"/>
              <w:tr2bl w:val="nil"/>
            </w:tcBorders>
            <w:noWrap w:val="0"/>
            <w:vAlign w:val="center"/>
          </w:tcPr>
          <w:p w14:paraId="2D2981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p w14:paraId="05DCF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、市司法局</w:t>
            </w:r>
          </w:p>
        </w:tc>
        <w:tc>
          <w:tcPr>
            <w:tcW w:w="1306" w:type="pct"/>
            <w:tcBorders>
              <w:tl2br w:val="nil"/>
              <w:tr2bl w:val="nil"/>
            </w:tcBorders>
            <w:noWrap w:val="0"/>
            <w:vAlign w:val="center"/>
          </w:tcPr>
          <w:p w14:paraId="4D6F1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（9）开展困难职工帮扶救助，为困难职工提供生活救助、子女助学、医疗救助等不少于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150</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233" w:type="pct"/>
            <w:tcBorders>
              <w:tl2br w:val="nil"/>
              <w:tr2bl w:val="nil"/>
            </w:tcBorders>
            <w:noWrap w:val="0"/>
            <w:vAlign w:val="center"/>
          </w:tcPr>
          <w:p w14:paraId="2AB83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月底，已救助在档困难职工</w:t>
            </w:r>
            <w:r>
              <w:rPr>
                <w:rFonts w:hint="eastAsia" w:ascii="Times New Roman" w:hAnsi="Times New Roman" w:eastAsia="仿宋_GB2312" w:cs="Times New Roman"/>
                <w:i w:val="0"/>
                <w:iCs w:val="0"/>
                <w:color w:val="000000"/>
                <w:sz w:val="24"/>
                <w:szCs w:val="24"/>
                <w:highlight w:val="none"/>
                <w:u w:val="none"/>
                <w:lang w:val="en-US" w:eastAsia="zh-CN"/>
              </w:rPr>
              <w:t>200</w:t>
            </w:r>
            <w:r>
              <w:rPr>
                <w:rFonts w:hint="default" w:ascii="Times New Roman" w:hAnsi="Times New Roman" w:eastAsia="仿宋_GB2312" w:cs="Times New Roman"/>
                <w:i w:val="0"/>
                <w:iCs w:val="0"/>
                <w:color w:val="000000"/>
                <w:sz w:val="24"/>
                <w:szCs w:val="24"/>
                <w:highlight w:val="none"/>
                <w:u w:val="none"/>
                <w:lang w:val="en-US" w:eastAsia="zh-CN"/>
              </w:rPr>
              <w:t>人次，发放各类帮扶资金</w:t>
            </w:r>
            <w:r>
              <w:rPr>
                <w:rFonts w:hint="eastAsia" w:ascii="Times New Roman" w:hAnsi="Times New Roman" w:eastAsia="仿宋_GB2312" w:cs="Times New Roman"/>
                <w:i w:val="0"/>
                <w:iCs w:val="0"/>
                <w:color w:val="000000"/>
                <w:sz w:val="24"/>
                <w:szCs w:val="24"/>
                <w:highlight w:val="none"/>
                <w:u w:val="none"/>
                <w:lang w:val="en-US" w:eastAsia="zh-CN"/>
              </w:rPr>
              <w:t>128.6346</w:t>
            </w:r>
            <w:r>
              <w:rPr>
                <w:rFonts w:hint="default" w:ascii="Times New Roman" w:hAnsi="Times New Roman" w:eastAsia="仿宋_GB2312" w:cs="Times New Roman"/>
                <w:i w:val="0"/>
                <w:iCs w:val="0"/>
                <w:color w:val="000000"/>
                <w:sz w:val="24"/>
                <w:szCs w:val="24"/>
                <w:highlight w:val="none"/>
                <w:u w:val="none"/>
                <w:lang w:val="en-US" w:eastAsia="zh-CN"/>
              </w:rPr>
              <w:t>万元，任务完成率</w:t>
            </w:r>
            <w:r>
              <w:rPr>
                <w:rFonts w:hint="eastAsia" w:ascii="Times New Roman" w:hAnsi="Times New Roman" w:eastAsia="仿宋_GB2312" w:cs="Times New Roman"/>
                <w:i w:val="0"/>
                <w:iCs w:val="0"/>
                <w:color w:val="000000"/>
                <w:sz w:val="24"/>
                <w:szCs w:val="24"/>
                <w:highlight w:val="none"/>
                <w:u w:val="none"/>
                <w:lang w:val="en-US" w:eastAsia="zh-CN"/>
              </w:rPr>
              <w:t>133</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3A7F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99" w:type="pct"/>
            <w:vMerge w:val="continue"/>
            <w:tcBorders>
              <w:tl2br w:val="nil"/>
              <w:tr2bl w:val="nil"/>
            </w:tcBorders>
            <w:noWrap w:val="0"/>
            <w:vAlign w:val="center"/>
          </w:tcPr>
          <w:p w14:paraId="66633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60" w:type="pct"/>
            <w:vMerge w:val="continue"/>
            <w:tcBorders>
              <w:tl2br w:val="nil"/>
              <w:tr2bl w:val="nil"/>
            </w:tcBorders>
            <w:noWrap w:val="0"/>
            <w:vAlign w:val="center"/>
          </w:tcPr>
          <w:p w14:paraId="7FFA0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306" w:type="pct"/>
            <w:tcBorders>
              <w:tl2br w:val="nil"/>
              <w:tr2bl w:val="nil"/>
            </w:tcBorders>
            <w:noWrap w:val="0"/>
            <w:vAlign w:val="center"/>
          </w:tcPr>
          <w:p w14:paraId="2577F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（10）为困难群众提供法律援助不少于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4330</w:t>
            </w:r>
            <w:r>
              <w:rPr>
                <w:rFonts w:hint="default" w:ascii="Times New Roman" w:hAnsi="Times New Roman" w:eastAsia="仿宋_GB2312" w:cs="Times New Roman"/>
                <w:b w:val="0"/>
                <w:bCs/>
                <w:color w:val="000000"/>
                <w:sz w:val="24"/>
                <w:szCs w:val="24"/>
                <w:highlight w:val="none"/>
                <w:u w:val="none"/>
                <w:lang w:val="en-US" w:eastAsia="zh-CN"/>
              </w:rPr>
              <w:t>件。</w:t>
            </w:r>
          </w:p>
        </w:tc>
        <w:tc>
          <w:tcPr>
            <w:tcW w:w="3233" w:type="pct"/>
            <w:tcBorders>
              <w:tl2br w:val="nil"/>
              <w:tr2bl w:val="nil"/>
            </w:tcBorders>
            <w:noWrap w:val="0"/>
            <w:vAlign w:val="center"/>
          </w:tcPr>
          <w:p w14:paraId="3173D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截至9月底，已办理法律援助案件3849件，任务完成率86.3%。</w:t>
            </w:r>
          </w:p>
        </w:tc>
      </w:tr>
      <w:tr w14:paraId="705F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99" w:type="pct"/>
            <w:tcBorders>
              <w:tl2br w:val="nil"/>
              <w:tr2bl w:val="nil"/>
            </w:tcBorders>
            <w:noWrap w:val="0"/>
            <w:vAlign w:val="center"/>
          </w:tcPr>
          <w:p w14:paraId="0A898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7</w:t>
            </w:r>
          </w:p>
        </w:tc>
        <w:tc>
          <w:tcPr>
            <w:tcW w:w="260" w:type="pct"/>
            <w:tcBorders>
              <w:tl2br w:val="nil"/>
              <w:tr2bl w:val="nil"/>
            </w:tcBorders>
            <w:noWrap w:val="0"/>
            <w:vAlign w:val="center"/>
          </w:tcPr>
          <w:p w14:paraId="529CE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306" w:type="pct"/>
            <w:tcBorders>
              <w:tl2br w:val="nil"/>
              <w:tr2bl w:val="nil"/>
            </w:tcBorders>
            <w:noWrap w:val="0"/>
            <w:vAlign w:val="center"/>
          </w:tcPr>
          <w:p w14:paraId="4B662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（11）实施困难残疾人康复工程，为困难残疾人提供康复救助不少于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7031</w:t>
            </w:r>
            <w:r>
              <w:rPr>
                <w:rFonts w:hint="default" w:ascii="Times New Roman" w:hAnsi="Times New Roman" w:eastAsia="仿宋_GB2312" w:cs="Times New Roman"/>
                <w:b w:val="0"/>
                <w:bCs/>
                <w:color w:val="000000"/>
                <w:sz w:val="24"/>
                <w:szCs w:val="24"/>
                <w:highlight w:val="none"/>
                <w:u w:val="none"/>
                <w:lang w:val="en-US" w:eastAsia="zh-CN"/>
              </w:rPr>
              <w:t>名。</w:t>
            </w:r>
          </w:p>
        </w:tc>
        <w:tc>
          <w:tcPr>
            <w:tcW w:w="3233" w:type="pct"/>
            <w:tcBorders>
              <w:tl2br w:val="nil"/>
              <w:tr2bl w:val="nil"/>
            </w:tcBorders>
            <w:noWrap w:val="0"/>
            <w:vAlign w:val="center"/>
          </w:tcPr>
          <w:p w14:paraId="7B485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w:t>
            </w:r>
            <w:r>
              <w:rPr>
                <w:rFonts w:hint="default" w:ascii="Times New Roman" w:hAnsi="Times New Roman" w:eastAsia="仿宋_GB2312" w:cs="Times New Roman"/>
                <w:b w:val="0"/>
                <w:bCs/>
                <w:color w:val="000000"/>
                <w:sz w:val="24"/>
                <w:szCs w:val="24"/>
                <w:highlight w:val="none"/>
                <w:u w:val="none"/>
                <w:lang w:val="en-US" w:eastAsia="zh-CN"/>
              </w:rPr>
              <w:t>，已审核救助</w:t>
            </w:r>
            <w:r>
              <w:rPr>
                <w:rFonts w:hint="eastAsia" w:ascii="Times New Roman" w:hAnsi="Times New Roman" w:eastAsia="仿宋_GB2312" w:cs="Times New Roman"/>
                <w:b w:val="0"/>
                <w:bCs/>
                <w:color w:val="000000"/>
                <w:sz w:val="24"/>
                <w:szCs w:val="24"/>
                <w:highlight w:val="none"/>
                <w:u w:val="none"/>
                <w:lang w:val="en-US" w:eastAsia="zh-CN"/>
              </w:rPr>
              <w:t>9563</w:t>
            </w:r>
            <w:r>
              <w:rPr>
                <w:rFonts w:hint="default" w:ascii="Times New Roman" w:hAnsi="Times New Roman" w:eastAsia="仿宋_GB2312" w:cs="Times New Roman"/>
                <w:b w:val="0"/>
                <w:bCs/>
                <w:color w:val="000000"/>
                <w:sz w:val="24"/>
                <w:szCs w:val="24"/>
                <w:highlight w:val="none"/>
                <w:u w:val="none"/>
                <w:lang w:val="en-US" w:eastAsia="zh-CN"/>
              </w:rPr>
              <w:t>人</w:t>
            </w:r>
            <w:r>
              <w:rPr>
                <w:rFonts w:hint="eastAsia"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val="0"/>
                <w:bCs/>
                <w:color w:val="000000"/>
                <w:sz w:val="24"/>
                <w:szCs w:val="24"/>
                <w:highlight w:val="none"/>
                <w:u w:val="none"/>
                <w:lang w:val="en-US" w:eastAsia="zh-CN"/>
              </w:rPr>
              <w:t>任务完成率</w:t>
            </w:r>
            <w:r>
              <w:rPr>
                <w:rFonts w:hint="eastAsia" w:ascii="Times New Roman" w:hAnsi="Times New Roman" w:eastAsia="仿宋_GB2312" w:cs="Times New Roman"/>
                <w:b w:val="0"/>
                <w:bCs/>
                <w:color w:val="000000"/>
                <w:sz w:val="24"/>
                <w:szCs w:val="24"/>
                <w:highlight w:val="none"/>
                <w:u w:val="none"/>
                <w:lang w:val="en-US" w:eastAsia="zh-CN"/>
              </w:rPr>
              <w:t>136</w:t>
            </w:r>
            <w:r>
              <w:rPr>
                <w:rFonts w:hint="default" w:ascii="Times New Roman" w:hAnsi="Times New Roman" w:eastAsia="仿宋_GB2312" w:cs="Times New Roman"/>
                <w:b w:val="0"/>
                <w:bCs/>
                <w:color w:val="000000"/>
                <w:sz w:val="24"/>
                <w:szCs w:val="24"/>
                <w:highlight w:val="none"/>
                <w:u w:val="none"/>
                <w:lang w:val="en-US" w:eastAsia="zh-CN"/>
              </w:rPr>
              <w:t>%。</w:t>
            </w:r>
          </w:p>
        </w:tc>
      </w:tr>
      <w:tr w14:paraId="1A43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9" w:type="pct"/>
            <w:tcBorders>
              <w:tl2br w:val="nil"/>
              <w:tr2bl w:val="nil"/>
            </w:tcBorders>
            <w:noWrap w:val="0"/>
            <w:vAlign w:val="center"/>
          </w:tcPr>
          <w:p w14:paraId="59F33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c>
          <w:tcPr>
            <w:tcW w:w="260" w:type="pct"/>
            <w:tcBorders>
              <w:tl2br w:val="nil"/>
              <w:tr2bl w:val="nil"/>
            </w:tcBorders>
            <w:noWrap w:val="0"/>
            <w:vAlign w:val="center"/>
          </w:tcPr>
          <w:p w14:paraId="664C9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市退役军人事务局</w:t>
            </w:r>
          </w:p>
        </w:tc>
        <w:tc>
          <w:tcPr>
            <w:tcW w:w="1306" w:type="pct"/>
            <w:tcBorders>
              <w:tl2br w:val="nil"/>
              <w:tr2bl w:val="nil"/>
            </w:tcBorders>
            <w:noWrap w:val="0"/>
            <w:vAlign w:val="center"/>
          </w:tcPr>
          <w:p w14:paraId="126165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（12）强化困难退役军人服务保障，帮扶困难退役军人和军属烈属</w:t>
            </w:r>
            <w:r>
              <w:rPr>
                <w:rFonts w:hint="default" w:ascii="Times New Roman" w:hAnsi="Times New Roman" w:eastAsia="仿宋_GB2312" w:cs="Times New Roman"/>
                <w:b w:val="0"/>
                <w:bCs/>
                <w:strike w:val="0"/>
                <w:dstrike w:val="0"/>
                <w:color w:val="000000"/>
                <w:sz w:val="24"/>
                <w:szCs w:val="24"/>
                <w:highlight w:val="none"/>
                <w:u w:val="none"/>
                <w:lang w:val="en-US" w:eastAsia="zh-CN"/>
              </w:rPr>
              <w:t>784</w:t>
            </w:r>
            <w:r>
              <w:rPr>
                <w:rFonts w:hint="default" w:ascii="Times New Roman" w:hAnsi="Times New Roman" w:eastAsia="仿宋_GB2312" w:cs="Times New Roman"/>
                <w:b w:val="0"/>
                <w:bCs/>
                <w:color w:val="000000"/>
                <w:sz w:val="24"/>
                <w:szCs w:val="24"/>
                <w:highlight w:val="none"/>
                <w:u w:val="none"/>
                <w:lang w:val="en-US" w:eastAsia="zh-CN"/>
              </w:rPr>
              <w:t>人。</w:t>
            </w:r>
          </w:p>
        </w:tc>
        <w:tc>
          <w:tcPr>
            <w:tcW w:w="3233" w:type="pct"/>
            <w:tcBorders>
              <w:tl2br w:val="nil"/>
              <w:tr2bl w:val="nil"/>
            </w:tcBorders>
            <w:noWrap w:val="0"/>
            <w:vAlign w:val="center"/>
          </w:tcPr>
          <w:p w14:paraId="19FC5BB6">
            <w:pPr>
              <w:keepNext w:val="0"/>
              <w:keepLines w:val="0"/>
              <w:pageBreakBefore w:val="0"/>
              <w:widowControl/>
              <w:suppressLineNumbers w:val="0"/>
              <w:suppressAutoHyphens/>
              <w:kinsoku/>
              <w:wordWrap/>
              <w:overflowPunct/>
              <w:topLinePunct w:val="0"/>
              <w:autoSpaceDE/>
              <w:autoSpaceDN/>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000000"/>
                <w:sz w:val="24"/>
                <w:szCs w:val="24"/>
                <w:highlight w:val="none"/>
                <w:u w:val="none"/>
                <w:lang w:val="en-US" w:eastAsia="zh-CN" w:bidi="ar-SA"/>
              </w:rPr>
              <w:t>截至</w:t>
            </w:r>
            <w:r>
              <w:rPr>
                <w:rFonts w:hint="eastAsia" w:ascii="Times New Roman" w:hAnsi="Times New Roman" w:eastAsia="仿宋_GB2312" w:cs="Times New Roman"/>
                <w:color w:val="000000"/>
                <w:sz w:val="24"/>
                <w:szCs w:val="24"/>
                <w:highlight w:val="none"/>
                <w:u w:val="none"/>
                <w:lang w:val="en-US" w:eastAsia="zh-CN" w:bidi="ar-SA"/>
              </w:rPr>
              <w:t>9</w:t>
            </w:r>
            <w:r>
              <w:rPr>
                <w:rFonts w:hint="default" w:ascii="Times New Roman" w:hAnsi="Times New Roman" w:eastAsia="仿宋_GB2312" w:cs="Times New Roman"/>
                <w:color w:val="000000"/>
                <w:sz w:val="24"/>
                <w:szCs w:val="24"/>
                <w:highlight w:val="none"/>
                <w:u w:val="none"/>
                <w:lang w:val="en-US" w:eastAsia="zh-CN" w:bidi="ar-SA"/>
              </w:rPr>
              <w:t>月底，已</w:t>
            </w:r>
            <w:r>
              <w:rPr>
                <w:rFonts w:hint="eastAsia" w:ascii="Times New Roman" w:hAnsi="Times New Roman" w:eastAsia="仿宋_GB2312" w:cs="Times New Roman"/>
                <w:color w:val="000000"/>
                <w:sz w:val="24"/>
                <w:szCs w:val="24"/>
                <w:highlight w:val="none"/>
                <w:u w:val="none"/>
                <w:lang w:val="en-US" w:eastAsia="zh-CN" w:bidi="ar-SA"/>
              </w:rPr>
              <w:t>为784</w:t>
            </w:r>
            <w:r>
              <w:rPr>
                <w:rFonts w:hint="default" w:ascii="Times New Roman" w:hAnsi="Times New Roman" w:eastAsia="仿宋_GB2312" w:cs="Times New Roman"/>
                <w:color w:val="000000"/>
                <w:sz w:val="24"/>
                <w:szCs w:val="24"/>
                <w:highlight w:val="none"/>
                <w:u w:val="none"/>
                <w:lang w:val="en-US" w:eastAsia="zh-CN" w:bidi="ar-SA"/>
              </w:rPr>
              <w:t>名困难退役军人和军属烈属解决生活、医疗、就业等问题，任务完成率</w:t>
            </w:r>
            <w:r>
              <w:rPr>
                <w:rFonts w:hint="eastAsia" w:ascii="Times New Roman" w:hAnsi="Times New Roman" w:eastAsia="仿宋_GB2312" w:cs="Times New Roman"/>
                <w:color w:val="000000"/>
                <w:sz w:val="24"/>
                <w:szCs w:val="24"/>
                <w:highlight w:val="none"/>
                <w:u w:val="none"/>
                <w:lang w:val="en-US" w:eastAsia="zh-CN" w:bidi="ar-SA"/>
              </w:rPr>
              <w:t>100</w:t>
            </w:r>
            <w:r>
              <w:rPr>
                <w:rFonts w:hint="default" w:ascii="Times New Roman" w:hAnsi="Times New Roman" w:eastAsia="仿宋_GB2312" w:cs="Times New Roman"/>
                <w:color w:val="000000"/>
                <w:sz w:val="24"/>
                <w:szCs w:val="24"/>
                <w:highlight w:val="none"/>
                <w:u w:val="none"/>
                <w:lang w:val="en-US" w:eastAsia="zh-CN" w:bidi="ar-SA"/>
              </w:rPr>
              <w:t>%。</w:t>
            </w:r>
          </w:p>
        </w:tc>
      </w:tr>
      <w:tr w14:paraId="423B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99" w:type="pct"/>
            <w:tcBorders>
              <w:tl2br w:val="nil"/>
              <w:tr2bl w:val="nil"/>
            </w:tcBorders>
            <w:noWrap w:val="0"/>
            <w:vAlign w:val="center"/>
          </w:tcPr>
          <w:p w14:paraId="29E8B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9</w:t>
            </w:r>
          </w:p>
        </w:tc>
        <w:tc>
          <w:tcPr>
            <w:tcW w:w="260" w:type="pct"/>
            <w:tcBorders>
              <w:tl2br w:val="nil"/>
              <w:tr2bl w:val="nil"/>
            </w:tcBorders>
            <w:noWrap w:val="0"/>
            <w:vAlign w:val="center"/>
          </w:tcPr>
          <w:p w14:paraId="29F532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0BB06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1306" w:type="pct"/>
            <w:tcBorders>
              <w:tl2br w:val="nil"/>
              <w:tr2bl w:val="nil"/>
            </w:tcBorders>
            <w:noWrap w:val="0"/>
            <w:vAlign w:val="center"/>
          </w:tcPr>
          <w:p w14:paraId="6311E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（13）实施家庭经济困难学生资助，资助家庭经济困难学生</w:t>
            </w:r>
            <w:r>
              <w:rPr>
                <w:rFonts w:hint="default" w:ascii="Times New Roman" w:hAnsi="Times New Roman" w:eastAsia="仿宋_GB2312" w:cs="Times New Roman"/>
                <w:b w:val="0"/>
                <w:bCs/>
                <w:strike w:val="0"/>
                <w:dstrike w:val="0"/>
                <w:color w:val="000000"/>
                <w:sz w:val="24"/>
                <w:szCs w:val="24"/>
                <w:highlight w:val="none"/>
                <w:u w:val="none"/>
                <w:lang w:val="en-US" w:eastAsia="zh-CN"/>
              </w:rPr>
              <w:t>7万</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233" w:type="pct"/>
            <w:tcBorders>
              <w:tl2br w:val="nil"/>
              <w:tr2bl w:val="nil"/>
            </w:tcBorders>
            <w:noWrap w:val="0"/>
            <w:vAlign w:val="center"/>
          </w:tcPr>
          <w:p w14:paraId="77DCE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截至9月底，已完成春季资金发放，资助困难学生</w:t>
            </w:r>
            <w:r>
              <w:rPr>
                <w:rFonts w:hint="default" w:ascii="Times New Roman" w:hAnsi="Times New Roman" w:eastAsia="仿宋_GB2312" w:cs="Times New Roman"/>
                <w:i w:val="0"/>
                <w:iCs w:val="0"/>
                <w:color w:val="000000"/>
                <w:sz w:val="24"/>
                <w:szCs w:val="24"/>
                <w:highlight w:val="none"/>
                <w:u w:val="none"/>
                <w:lang w:eastAsia="zh-CN"/>
              </w:rPr>
              <w:t>42832人次，</w:t>
            </w:r>
            <w:r>
              <w:rPr>
                <w:rFonts w:hint="default" w:ascii="Times New Roman" w:hAnsi="Times New Roman" w:eastAsia="仿宋_GB2312" w:cs="Times New Roman"/>
                <w:i w:val="0"/>
                <w:iCs w:val="0"/>
                <w:color w:val="000000"/>
                <w:sz w:val="24"/>
                <w:szCs w:val="24"/>
                <w:highlight w:val="none"/>
                <w:u w:val="none"/>
                <w:lang w:val="en-US" w:eastAsia="zh-CN"/>
              </w:rPr>
              <w:t>发放资助资金</w:t>
            </w:r>
            <w:r>
              <w:rPr>
                <w:rFonts w:hint="default" w:ascii="Times New Roman" w:hAnsi="Times New Roman" w:eastAsia="仿宋_GB2312" w:cs="Times New Roman"/>
                <w:i w:val="0"/>
                <w:iCs w:val="0"/>
                <w:color w:val="000000"/>
                <w:sz w:val="24"/>
                <w:szCs w:val="24"/>
                <w:highlight w:val="none"/>
                <w:u w:val="none"/>
                <w:lang w:eastAsia="zh-CN"/>
              </w:rPr>
              <w:t>5295.621万元，</w:t>
            </w:r>
            <w:r>
              <w:rPr>
                <w:rFonts w:hint="default" w:ascii="Times New Roman" w:hAnsi="Times New Roman" w:eastAsia="仿宋_GB2312" w:cs="Times New Roman"/>
                <w:i w:val="0"/>
                <w:iCs w:val="0"/>
                <w:color w:val="000000"/>
                <w:sz w:val="24"/>
                <w:szCs w:val="24"/>
                <w:highlight w:val="none"/>
                <w:u w:val="none"/>
                <w:lang w:val="en-US" w:eastAsia="zh-CN"/>
              </w:rPr>
              <w:t>任务完成率61.1%。</w:t>
            </w:r>
          </w:p>
        </w:tc>
      </w:tr>
      <w:tr w14:paraId="5D36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199" w:type="pct"/>
            <w:vMerge w:val="restart"/>
            <w:tcBorders>
              <w:tl2br w:val="nil"/>
              <w:tr2bl w:val="nil"/>
            </w:tcBorders>
            <w:noWrap w:val="0"/>
            <w:vAlign w:val="center"/>
          </w:tcPr>
          <w:p w14:paraId="75D34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10</w:t>
            </w:r>
          </w:p>
        </w:tc>
        <w:tc>
          <w:tcPr>
            <w:tcW w:w="260" w:type="pct"/>
            <w:vMerge w:val="restart"/>
            <w:tcBorders>
              <w:tl2br w:val="nil"/>
              <w:tr2bl w:val="nil"/>
            </w:tcBorders>
            <w:noWrap w:val="0"/>
            <w:vAlign w:val="center"/>
          </w:tcPr>
          <w:p w14:paraId="0D070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306" w:type="pct"/>
            <w:tcBorders>
              <w:tl2br w:val="nil"/>
              <w:tr2bl w:val="nil"/>
            </w:tcBorders>
            <w:noWrap w:val="0"/>
            <w:vAlign w:val="center"/>
          </w:tcPr>
          <w:p w14:paraId="26C9B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（14）推动实现残疾人较高质量就业，为有需求的残疾人开展职业技能培训和创业培训</w:t>
            </w:r>
            <w:r>
              <w:rPr>
                <w:rFonts w:hint="default" w:ascii="Times New Roman" w:hAnsi="Times New Roman" w:eastAsia="仿宋_GB2312" w:cs="Times New Roman"/>
                <w:b w:val="0"/>
                <w:bCs/>
                <w:strike w:val="0"/>
                <w:dstrike w:val="0"/>
                <w:color w:val="000000"/>
                <w:sz w:val="24"/>
                <w:szCs w:val="24"/>
                <w:highlight w:val="none"/>
                <w:u w:val="none"/>
                <w:lang w:val="en-US" w:eastAsia="zh-CN"/>
              </w:rPr>
              <w:t>647</w:t>
            </w:r>
            <w:r>
              <w:rPr>
                <w:rFonts w:hint="default" w:ascii="Times New Roman" w:hAnsi="Times New Roman" w:eastAsia="仿宋_GB2312" w:cs="Times New Roman"/>
                <w:b w:val="0"/>
                <w:bCs/>
                <w:color w:val="000000"/>
                <w:kern w:val="2"/>
                <w:sz w:val="24"/>
                <w:szCs w:val="24"/>
                <w:highlight w:val="none"/>
                <w:u w:val="none"/>
                <w:lang w:val="en-US" w:eastAsia="zh-CN" w:bidi="ar-SA"/>
              </w:rPr>
              <w:t>人次。</w:t>
            </w:r>
          </w:p>
        </w:tc>
        <w:tc>
          <w:tcPr>
            <w:tcW w:w="3233" w:type="pct"/>
            <w:tcBorders>
              <w:tl2br w:val="nil"/>
              <w:tr2bl w:val="nil"/>
            </w:tcBorders>
            <w:noWrap w:val="0"/>
            <w:vAlign w:val="center"/>
          </w:tcPr>
          <w:p w14:paraId="7CDC2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sz w:val="24"/>
                <w:szCs w:val="24"/>
                <w:highlight w:val="none"/>
                <w:u w:val="none"/>
                <w:lang w:val="en-US" w:eastAsia="zh-CN"/>
              </w:rPr>
              <w:t>截至9月底，已为有需求的残疾人开展职业技能培训和创业培训676人次。任务完成率104.48%。</w:t>
            </w:r>
          </w:p>
        </w:tc>
      </w:tr>
      <w:tr w14:paraId="1915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9" w:type="pct"/>
            <w:vMerge w:val="continue"/>
            <w:tcBorders>
              <w:tl2br w:val="nil"/>
              <w:tr2bl w:val="nil"/>
            </w:tcBorders>
            <w:noWrap w:val="0"/>
            <w:vAlign w:val="center"/>
          </w:tcPr>
          <w:p w14:paraId="1E81ACEC">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5B82AF08">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0"/>
            <w:vAlign w:val="center"/>
          </w:tcPr>
          <w:p w14:paraId="5942E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（15）实施“阳光家园计划”，开展就业年龄段智力、精神和重度肢体残疾人托养服务不少于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700</w:t>
            </w:r>
            <w:r>
              <w:rPr>
                <w:rFonts w:hint="default" w:ascii="Times New Roman" w:hAnsi="Times New Roman" w:eastAsia="仿宋_GB2312" w:cs="Times New Roman"/>
                <w:b w:val="0"/>
                <w:bCs/>
                <w:color w:val="000000"/>
                <w:kern w:val="2"/>
                <w:sz w:val="24"/>
                <w:szCs w:val="24"/>
                <w:highlight w:val="none"/>
                <w:u w:val="none"/>
                <w:lang w:val="en-US" w:eastAsia="zh-CN" w:bidi="ar-SA"/>
              </w:rPr>
              <w:t>人。</w:t>
            </w:r>
          </w:p>
        </w:tc>
        <w:tc>
          <w:tcPr>
            <w:tcW w:w="3233" w:type="pct"/>
            <w:tcBorders>
              <w:tl2br w:val="nil"/>
              <w:tr2bl w:val="nil"/>
            </w:tcBorders>
            <w:noWrap w:val="0"/>
            <w:vAlign w:val="center"/>
          </w:tcPr>
          <w:p w14:paraId="6CA06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b w:val="0"/>
                <w:bCs/>
                <w:sz w:val="24"/>
                <w:szCs w:val="24"/>
                <w:highlight w:val="none"/>
                <w:u w:val="none"/>
                <w:lang w:val="en-US" w:eastAsia="zh-CN"/>
              </w:rPr>
              <w:t>截至9月底，已为705名残疾人提供托养服务。任务完成率100.71%。</w:t>
            </w:r>
          </w:p>
        </w:tc>
      </w:tr>
      <w:tr w14:paraId="0EF3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99" w:type="pct"/>
            <w:tcBorders>
              <w:tl2br w:val="nil"/>
              <w:tr2bl w:val="nil"/>
            </w:tcBorders>
            <w:noWrap w:val="0"/>
            <w:vAlign w:val="center"/>
          </w:tcPr>
          <w:p w14:paraId="50DB5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11</w:t>
            </w:r>
          </w:p>
        </w:tc>
        <w:tc>
          <w:tcPr>
            <w:tcW w:w="260" w:type="pct"/>
            <w:tcBorders>
              <w:tl2br w:val="nil"/>
              <w:tr2bl w:val="nil"/>
            </w:tcBorders>
            <w:noWrap w:val="0"/>
            <w:vAlign w:val="center"/>
          </w:tcPr>
          <w:p w14:paraId="56823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306" w:type="pct"/>
            <w:tcBorders>
              <w:tl2br w:val="nil"/>
              <w:tr2bl w:val="nil"/>
            </w:tcBorders>
            <w:noWrap w:val="0"/>
            <w:vAlign w:val="center"/>
          </w:tcPr>
          <w:p w14:paraId="5878C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（16）持续优化无障碍环境，为</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kern w:val="2"/>
                <w:sz w:val="24"/>
                <w:szCs w:val="24"/>
                <w:highlight w:val="none"/>
                <w:u w:val="none"/>
                <w:lang w:val="en-US" w:eastAsia="zh-CN" w:bidi="ar-SA"/>
              </w:rPr>
              <w:t>户困难重度残疾人家庭实施无障碍改造。</w:t>
            </w:r>
          </w:p>
        </w:tc>
        <w:tc>
          <w:tcPr>
            <w:tcW w:w="3233" w:type="pct"/>
            <w:tcBorders>
              <w:tl2br w:val="nil"/>
              <w:tr2bl w:val="nil"/>
            </w:tcBorders>
            <w:noWrap w:val="0"/>
            <w:vAlign w:val="center"/>
          </w:tcPr>
          <w:p w14:paraId="7F9B31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000000"/>
                <w:sz w:val="24"/>
                <w:szCs w:val="24"/>
                <w:highlight w:val="none"/>
                <w:u w:val="none"/>
                <w:lang w:val="en-US" w:eastAsia="zh-CN"/>
              </w:rPr>
              <w:t>截至9</w:t>
            </w:r>
            <w:r>
              <w:rPr>
                <w:rFonts w:hint="default" w:ascii="Times New Roman" w:hAnsi="Times New Roman" w:eastAsia="仿宋_GB2312" w:cs="Times New Roman"/>
                <w:b w:val="0"/>
                <w:bCs/>
                <w:color w:val="000000"/>
                <w:sz w:val="24"/>
                <w:szCs w:val="24"/>
                <w:highlight w:val="none"/>
                <w:u w:val="none"/>
                <w:lang w:val="en-US" w:eastAsia="zh-CN"/>
              </w:rPr>
              <w:t>月底，</w:t>
            </w:r>
            <w:r>
              <w:rPr>
                <w:rFonts w:hint="eastAsia" w:ascii="Times New Roman" w:hAnsi="Times New Roman" w:eastAsia="仿宋_GB2312" w:cs="Times New Roman"/>
                <w:b w:val="0"/>
                <w:bCs/>
                <w:color w:val="000000"/>
                <w:sz w:val="24"/>
                <w:szCs w:val="24"/>
                <w:highlight w:val="none"/>
                <w:u w:val="none"/>
                <w:lang w:val="en-US" w:eastAsia="zh-CN"/>
              </w:rPr>
              <w:t>已完成改造807户，</w:t>
            </w:r>
            <w:r>
              <w:rPr>
                <w:rFonts w:hint="eastAsia" w:ascii="Times New Roman" w:hAnsi="Times New Roman" w:eastAsia="仿宋_GB2312" w:cs="Times New Roman"/>
                <w:b w:val="0"/>
                <w:bCs/>
                <w:sz w:val="24"/>
                <w:szCs w:val="24"/>
                <w:highlight w:val="none"/>
                <w:u w:val="none"/>
                <w:lang w:val="en-US" w:eastAsia="zh-CN"/>
              </w:rPr>
              <w:t>任务完成率100.87%</w:t>
            </w:r>
            <w:r>
              <w:rPr>
                <w:rFonts w:hint="eastAsia" w:ascii="Times New Roman" w:hAnsi="Times New Roman" w:eastAsia="仿宋_GB2312" w:cs="Times New Roman"/>
                <w:b w:val="0"/>
                <w:bCs/>
                <w:color w:val="000000"/>
                <w:sz w:val="24"/>
                <w:szCs w:val="24"/>
                <w:highlight w:val="none"/>
                <w:u w:val="none"/>
                <w:lang w:val="en-US" w:eastAsia="zh-CN"/>
              </w:rPr>
              <w:t>。</w:t>
            </w:r>
          </w:p>
        </w:tc>
      </w:tr>
      <w:tr w14:paraId="460DF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199" w:type="pct"/>
            <w:vMerge w:val="restart"/>
            <w:tcBorders>
              <w:tl2br w:val="nil"/>
              <w:tr2bl w:val="nil"/>
            </w:tcBorders>
            <w:noWrap w:val="0"/>
            <w:vAlign w:val="center"/>
          </w:tcPr>
          <w:p w14:paraId="3E2D3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12</w:t>
            </w:r>
          </w:p>
        </w:tc>
        <w:tc>
          <w:tcPr>
            <w:tcW w:w="260" w:type="pct"/>
            <w:vMerge w:val="restart"/>
            <w:tcBorders>
              <w:tl2br w:val="nil"/>
              <w:tr2bl w:val="nil"/>
            </w:tcBorders>
            <w:noWrap w:val="0"/>
            <w:vAlign w:val="center"/>
          </w:tcPr>
          <w:p w14:paraId="4D515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70A81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306" w:type="pct"/>
            <w:tcBorders>
              <w:tl2br w:val="nil"/>
              <w:tr2bl w:val="nil"/>
            </w:tcBorders>
            <w:noWrap/>
            <w:vAlign w:val="center"/>
          </w:tcPr>
          <w:p w14:paraId="123E6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（17）实施安心托幼行动，新增托位</w:t>
            </w:r>
            <w:r>
              <w:rPr>
                <w:rFonts w:hint="default" w:ascii="Times New Roman" w:hAnsi="Times New Roman" w:eastAsia="仿宋_GB2312" w:cs="Times New Roman"/>
                <w:b w:val="0"/>
                <w:bCs/>
                <w:strike w:val="0"/>
                <w:dstrike w:val="0"/>
                <w:color w:val="000000"/>
                <w:sz w:val="24"/>
                <w:szCs w:val="24"/>
                <w:highlight w:val="none"/>
                <w:u w:val="none"/>
                <w:lang w:val="en-US" w:eastAsia="zh-CN"/>
              </w:rPr>
              <w:t>3000</w:t>
            </w:r>
            <w:r>
              <w:rPr>
                <w:rFonts w:hint="default" w:ascii="Times New Roman" w:hAnsi="Times New Roman" w:eastAsia="仿宋_GB2312" w:cs="Times New Roman"/>
                <w:b w:val="0"/>
                <w:bCs/>
                <w:color w:val="000000"/>
                <w:sz w:val="24"/>
                <w:szCs w:val="24"/>
                <w:highlight w:val="none"/>
                <w:u w:val="none"/>
                <w:lang w:val="en-US" w:eastAsia="zh-CN"/>
              </w:rPr>
              <w:t>个，千人口托位达</w:t>
            </w:r>
            <w:r>
              <w:rPr>
                <w:rFonts w:hint="default" w:ascii="Times New Roman" w:hAnsi="Times New Roman" w:eastAsia="仿宋_GB2312" w:cs="Times New Roman"/>
                <w:b w:val="0"/>
                <w:bCs/>
                <w:strike w:val="0"/>
                <w:dstrike w:val="0"/>
                <w:color w:val="000000"/>
                <w:sz w:val="24"/>
                <w:szCs w:val="24"/>
                <w:highlight w:val="none"/>
                <w:u w:val="none"/>
                <w:lang w:val="en-US" w:eastAsia="zh-CN"/>
              </w:rPr>
              <w:t>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233" w:type="pct"/>
            <w:tcBorders>
              <w:tl2br w:val="nil"/>
              <w:tr2bl w:val="nil"/>
            </w:tcBorders>
            <w:noWrap w:val="0"/>
            <w:vAlign w:val="center"/>
          </w:tcPr>
          <w:p w14:paraId="0C332C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color w:val="auto"/>
                <w:kern w:val="2"/>
                <w:sz w:val="24"/>
                <w:szCs w:val="24"/>
                <w:highlight w:val="none"/>
                <w:u w:val="none"/>
                <w:lang w:val="en-US" w:eastAsia="zh-CN" w:bidi="ar-SA"/>
              </w:rPr>
            </w:pPr>
            <w:r>
              <w:rPr>
                <w:rFonts w:hint="default" w:ascii="Times New Roman" w:hAnsi="Times New Roman" w:eastAsia="仿宋_GB2312" w:cs="Times New Roman"/>
                <w:b w:val="0"/>
                <w:bCs/>
                <w:sz w:val="24"/>
                <w:szCs w:val="24"/>
                <w:highlight w:val="none"/>
                <w:u w:val="none"/>
                <w:lang w:val="en-US" w:eastAsia="zh-CN"/>
              </w:rPr>
              <w:t>截至9月底，已完成新增托位2890个，任务完成率96.33%。千人口托位数达5.21个。</w:t>
            </w:r>
          </w:p>
        </w:tc>
      </w:tr>
      <w:tr w14:paraId="14607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9" w:type="pct"/>
            <w:vMerge w:val="continue"/>
            <w:tcBorders>
              <w:tl2br w:val="nil"/>
              <w:tr2bl w:val="nil"/>
            </w:tcBorders>
            <w:noWrap w:val="0"/>
            <w:vAlign w:val="center"/>
          </w:tcPr>
          <w:p w14:paraId="0E6941F5">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06D6FD95">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ign w:val="center"/>
          </w:tcPr>
          <w:p w14:paraId="2E0EF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（18）实现各县（区）不少于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val="en-US" w:eastAsia="zh-CN"/>
              </w:rPr>
              <w:t>的幼儿园开设2—3岁托班；</w:t>
            </w:r>
          </w:p>
        </w:tc>
        <w:tc>
          <w:tcPr>
            <w:tcW w:w="3233" w:type="pct"/>
            <w:tcBorders>
              <w:tl2br w:val="nil"/>
              <w:tr2bl w:val="nil"/>
            </w:tcBorders>
            <w:noWrap w:val="0"/>
            <w:vAlign w:val="center"/>
          </w:tcPr>
          <w:p w14:paraId="0F55A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w:t>
            </w:r>
            <w:r>
              <w:rPr>
                <w:rFonts w:hint="eastAsia" w:ascii="Times New Roman" w:hAnsi="Times New Roman" w:eastAsia="仿宋_GB2312" w:cs="Times New Roman"/>
                <w:i w:val="0"/>
                <w:iCs w:val="0"/>
                <w:color w:val="000000"/>
                <w:sz w:val="24"/>
                <w:szCs w:val="24"/>
                <w:highlight w:val="none"/>
                <w:u w:val="none"/>
                <w:lang w:val="en-US" w:eastAsia="zh-CN"/>
              </w:rPr>
              <w:t>全市</w:t>
            </w:r>
            <w:r>
              <w:rPr>
                <w:rFonts w:hint="default" w:ascii="Times New Roman" w:hAnsi="Times New Roman" w:eastAsia="仿宋_GB2312" w:cs="Times New Roman"/>
                <w:i w:val="0"/>
                <w:iCs w:val="0"/>
                <w:color w:val="000000"/>
                <w:sz w:val="24"/>
                <w:szCs w:val="24"/>
                <w:highlight w:val="none"/>
                <w:u w:val="none"/>
                <w:lang w:val="en-US" w:eastAsia="zh-CN"/>
              </w:rPr>
              <w:t>10个县区取得开设托班资质的幼儿园占比均已达30%。</w:t>
            </w:r>
          </w:p>
        </w:tc>
      </w:tr>
      <w:tr w14:paraId="40294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99" w:type="pct"/>
            <w:vMerge w:val="continue"/>
            <w:tcBorders>
              <w:tl2br w:val="nil"/>
              <w:tr2bl w:val="nil"/>
            </w:tcBorders>
            <w:noWrap w:val="0"/>
            <w:vAlign w:val="center"/>
          </w:tcPr>
          <w:p w14:paraId="6F9D709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1668249B">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ign w:val="center"/>
          </w:tcPr>
          <w:p w14:paraId="715C1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（19）公办园在园幼儿占比达</w:t>
            </w:r>
            <w:r>
              <w:rPr>
                <w:rFonts w:hint="default" w:ascii="Times New Roman" w:hAnsi="Times New Roman" w:eastAsia="仿宋_GB2312" w:cs="Times New Roman"/>
                <w:b w:val="0"/>
                <w:bCs/>
                <w:strike w:val="0"/>
                <w:dstrike w:val="0"/>
                <w:color w:val="000000"/>
                <w:sz w:val="24"/>
                <w:szCs w:val="24"/>
                <w:highlight w:val="none"/>
                <w:u w:val="none"/>
                <w:lang w:val="en-US" w:eastAsia="zh-CN"/>
              </w:rPr>
              <w:t>70%</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233" w:type="pct"/>
            <w:tcBorders>
              <w:tl2br w:val="nil"/>
              <w:tr2bl w:val="nil"/>
            </w:tcBorders>
            <w:noWrap w:val="0"/>
            <w:vAlign w:val="center"/>
          </w:tcPr>
          <w:p w14:paraId="1E953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b w:val="0"/>
                <w:bCs/>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截至9月底，公办园在园幼儿占比为66.9%。</w:t>
            </w:r>
          </w:p>
        </w:tc>
      </w:tr>
      <w:tr w14:paraId="1D813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199" w:type="pct"/>
            <w:vMerge w:val="restart"/>
            <w:tcBorders>
              <w:tl2br w:val="nil"/>
              <w:tr2bl w:val="nil"/>
            </w:tcBorders>
            <w:noWrap w:val="0"/>
            <w:vAlign w:val="center"/>
          </w:tcPr>
          <w:p w14:paraId="7933B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13</w:t>
            </w:r>
          </w:p>
        </w:tc>
        <w:tc>
          <w:tcPr>
            <w:tcW w:w="260" w:type="pct"/>
            <w:vMerge w:val="restart"/>
            <w:tcBorders>
              <w:tl2br w:val="nil"/>
              <w:tr2bl w:val="nil"/>
            </w:tcBorders>
            <w:noWrap w:val="0"/>
            <w:vAlign w:val="center"/>
          </w:tcPr>
          <w:p w14:paraId="02CA4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306" w:type="pct"/>
            <w:tcBorders>
              <w:tl2br w:val="nil"/>
              <w:tr2bl w:val="nil"/>
            </w:tcBorders>
            <w:noWrap/>
            <w:vAlign w:val="center"/>
          </w:tcPr>
          <w:p w14:paraId="1D8A2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（20）改善义务教育学校办学条件，实施教室光环境达标工程，对</w:t>
            </w:r>
            <w:r>
              <w:rPr>
                <w:rFonts w:hint="default" w:ascii="Times New Roman" w:hAnsi="Times New Roman" w:eastAsia="仿宋_GB2312" w:cs="Times New Roman"/>
                <w:b w:val="0"/>
                <w:bCs/>
                <w:strike w:val="0"/>
                <w:dstrike w:val="0"/>
                <w:color w:val="000000"/>
                <w:sz w:val="24"/>
                <w:szCs w:val="24"/>
                <w:highlight w:val="none"/>
                <w:u w:val="none"/>
                <w:lang w:val="en-US" w:eastAsia="zh-CN"/>
              </w:rPr>
              <w:t>129</w:t>
            </w:r>
            <w:r>
              <w:rPr>
                <w:rFonts w:hint="default" w:ascii="Times New Roman" w:hAnsi="Times New Roman" w:eastAsia="仿宋_GB2312" w:cs="Times New Roman"/>
                <w:b w:val="0"/>
                <w:bCs/>
                <w:color w:val="000000"/>
                <w:sz w:val="24"/>
                <w:szCs w:val="24"/>
                <w:highlight w:val="none"/>
                <w:u w:val="none"/>
                <w:lang w:val="en-US" w:eastAsia="zh-CN"/>
              </w:rPr>
              <w:t>间中小学教室光环境进行改造。</w:t>
            </w:r>
          </w:p>
        </w:tc>
        <w:tc>
          <w:tcPr>
            <w:tcW w:w="3233" w:type="pct"/>
            <w:tcBorders>
              <w:tl2br w:val="nil"/>
              <w:tr2bl w:val="nil"/>
            </w:tcBorders>
            <w:noWrap w:val="0"/>
            <w:vAlign w:val="center"/>
          </w:tcPr>
          <w:p w14:paraId="0302A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教室光环境改造工程在寿县实施，</w:t>
            </w:r>
            <w:r>
              <w:rPr>
                <w:rFonts w:hint="eastAsia" w:ascii="Times New Roman" w:hAnsi="Times New Roman" w:eastAsia="仿宋_GB2312" w:cs="Times New Roman"/>
                <w:i w:val="0"/>
                <w:iCs w:val="0"/>
                <w:color w:val="auto"/>
                <w:sz w:val="24"/>
                <w:szCs w:val="24"/>
                <w:highlight w:val="none"/>
                <w:u w:val="none"/>
                <w:lang w:val="en-US" w:eastAsia="zh-CN"/>
              </w:rPr>
              <w:t>截至9月底，</w:t>
            </w:r>
            <w:r>
              <w:rPr>
                <w:rFonts w:hint="default" w:ascii="Times New Roman" w:hAnsi="Times New Roman" w:eastAsia="仿宋_GB2312" w:cs="Times New Roman"/>
                <w:i w:val="0"/>
                <w:iCs w:val="0"/>
                <w:color w:val="auto"/>
                <w:sz w:val="24"/>
                <w:szCs w:val="24"/>
                <w:highlight w:val="none"/>
                <w:u w:val="none"/>
                <w:lang w:val="en-US" w:eastAsia="zh-CN"/>
              </w:rPr>
              <w:t>已</w:t>
            </w:r>
            <w:r>
              <w:rPr>
                <w:rFonts w:hint="eastAsia" w:ascii="Times New Roman" w:hAnsi="Times New Roman" w:eastAsia="仿宋_GB2312" w:cs="Times New Roman"/>
                <w:i w:val="0"/>
                <w:iCs w:val="0"/>
                <w:color w:val="auto"/>
                <w:sz w:val="24"/>
                <w:szCs w:val="24"/>
                <w:highlight w:val="none"/>
                <w:u w:val="none"/>
                <w:lang w:val="en-US" w:eastAsia="zh-CN"/>
              </w:rPr>
              <w:t>完成</w:t>
            </w:r>
            <w:r>
              <w:rPr>
                <w:rFonts w:hint="default" w:ascii="Times New Roman" w:hAnsi="Times New Roman" w:eastAsia="仿宋_GB2312" w:cs="Times New Roman"/>
                <w:i w:val="0"/>
                <w:iCs w:val="0"/>
                <w:color w:val="auto"/>
                <w:sz w:val="24"/>
                <w:szCs w:val="24"/>
                <w:highlight w:val="none"/>
                <w:u w:val="none"/>
                <w:lang w:val="en-US" w:eastAsia="zh-CN"/>
              </w:rPr>
              <w:t>3所学校129</w:t>
            </w:r>
            <w:r>
              <w:rPr>
                <w:rFonts w:hint="eastAsia" w:ascii="Times New Roman" w:hAnsi="Times New Roman" w:eastAsia="仿宋_GB2312" w:cs="Times New Roman"/>
                <w:i w:val="0"/>
                <w:iCs w:val="0"/>
                <w:color w:val="auto"/>
                <w:sz w:val="24"/>
                <w:szCs w:val="24"/>
                <w:highlight w:val="none"/>
                <w:u w:val="none"/>
                <w:lang w:val="en-US" w:eastAsia="zh-CN"/>
              </w:rPr>
              <w:t>间</w:t>
            </w:r>
            <w:r>
              <w:rPr>
                <w:rFonts w:hint="default" w:ascii="Times New Roman" w:hAnsi="Times New Roman" w:eastAsia="仿宋_GB2312" w:cs="Times New Roman"/>
                <w:i w:val="0"/>
                <w:iCs w:val="0"/>
                <w:color w:val="auto"/>
                <w:sz w:val="24"/>
                <w:szCs w:val="24"/>
                <w:highlight w:val="none"/>
                <w:u w:val="none"/>
                <w:lang w:val="en-US" w:eastAsia="zh-CN"/>
              </w:rPr>
              <w:t>教室</w:t>
            </w:r>
            <w:r>
              <w:rPr>
                <w:rFonts w:hint="eastAsia" w:ascii="Times New Roman" w:hAnsi="Times New Roman" w:eastAsia="仿宋_GB2312" w:cs="Times New Roman"/>
                <w:i w:val="0"/>
                <w:iCs w:val="0"/>
                <w:color w:val="auto"/>
                <w:sz w:val="24"/>
                <w:szCs w:val="24"/>
                <w:highlight w:val="none"/>
                <w:u w:val="none"/>
                <w:lang w:val="en-US" w:eastAsia="zh-CN"/>
              </w:rPr>
              <w:t>安装工作。</w:t>
            </w:r>
          </w:p>
        </w:tc>
      </w:tr>
      <w:tr w14:paraId="1FF39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199" w:type="pct"/>
            <w:vMerge w:val="continue"/>
            <w:tcBorders>
              <w:tl2br w:val="nil"/>
              <w:tr2bl w:val="nil"/>
            </w:tcBorders>
            <w:noWrap w:val="0"/>
            <w:vAlign w:val="center"/>
          </w:tcPr>
          <w:p w14:paraId="3FBEF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60" w:type="pct"/>
            <w:vMerge w:val="continue"/>
            <w:tcBorders>
              <w:tl2br w:val="nil"/>
              <w:tr2bl w:val="nil"/>
            </w:tcBorders>
            <w:noWrap w:val="0"/>
            <w:vAlign w:val="center"/>
          </w:tcPr>
          <w:p w14:paraId="44F09E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306" w:type="pct"/>
            <w:tcBorders>
              <w:tl2br w:val="nil"/>
              <w:tr2bl w:val="nil"/>
            </w:tcBorders>
            <w:noWrap/>
            <w:vAlign w:val="center"/>
          </w:tcPr>
          <w:p w14:paraId="0E128C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（21）实施中小学生阳光体育促进行动，义务教育阶段学生每天综合体育活动时间不低于</w:t>
            </w:r>
            <w:r>
              <w:rPr>
                <w:rFonts w:hint="default" w:ascii="Times New Roman" w:hAnsi="Times New Roman" w:eastAsia="仿宋_GB2312" w:cs="Times New Roman"/>
                <w:b w:val="0"/>
                <w:bCs/>
                <w:strike w:val="0"/>
                <w:dstrike w:val="0"/>
                <w:color w:val="000000"/>
                <w:sz w:val="24"/>
                <w:szCs w:val="24"/>
                <w:highlight w:val="none"/>
                <w:u w:val="none"/>
                <w:lang w:val="en-US" w:eastAsia="zh-CN"/>
              </w:rPr>
              <w:t>2</w:t>
            </w:r>
            <w:r>
              <w:rPr>
                <w:rFonts w:hint="default" w:ascii="Times New Roman" w:hAnsi="Times New Roman" w:eastAsia="仿宋_GB2312" w:cs="Times New Roman"/>
                <w:b w:val="0"/>
                <w:bCs/>
                <w:color w:val="000000"/>
                <w:sz w:val="24"/>
                <w:szCs w:val="24"/>
                <w:highlight w:val="none"/>
                <w:u w:val="none"/>
                <w:lang w:val="en-US" w:eastAsia="zh-CN"/>
              </w:rPr>
              <w:t>小时。</w:t>
            </w:r>
          </w:p>
        </w:tc>
        <w:tc>
          <w:tcPr>
            <w:tcW w:w="3233" w:type="pct"/>
            <w:tcBorders>
              <w:tl2br w:val="nil"/>
              <w:tr2bl w:val="nil"/>
            </w:tcBorders>
            <w:noWrap w:val="0"/>
            <w:vAlign w:val="center"/>
          </w:tcPr>
          <w:p w14:paraId="77A1F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举办淮南市首届学生跳绳比赛；督查每天一节体育课落实情况并通报；召开全市学校体育工作现场会；与教研室对学校体育课质量和每天一小时体育课落实情况进行督查和指导；举办了2025年淮南市中小学“谁是球王”校园足球比赛。</w:t>
            </w:r>
          </w:p>
        </w:tc>
      </w:tr>
      <w:tr w14:paraId="733B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199" w:type="pct"/>
            <w:tcBorders>
              <w:tl2br w:val="nil"/>
              <w:tr2bl w:val="nil"/>
            </w:tcBorders>
            <w:noWrap w:val="0"/>
            <w:vAlign w:val="center"/>
          </w:tcPr>
          <w:p w14:paraId="40396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14</w:t>
            </w:r>
          </w:p>
        </w:tc>
        <w:tc>
          <w:tcPr>
            <w:tcW w:w="260" w:type="pct"/>
            <w:tcBorders>
              <w:tl2br w:val="nil"/>
              <w:tr2bl w:val="nil"/>
            </w:tcBorders>
            <w:noWrap w:val="0"/>
            <w:vAlign w:val="center"/>
          </w:tcPr>
          <w:p w14:paraId="2BCFF5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306" w:type="pct"/>
            <w:tcBorders>
              <w:tl2br w:val="nil"/>
              <w:tr2bl w:val="nil"/>
            </w:tcBorders>
            <w:noWrap/>
            <w:vAlign w:val="center"/>
          </w:tcPr>
          <w:p w14:paraId="7EA27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（22）实施老有所学行动，全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市各级各类</w:t>
            </w:r>
            <w:r>
              <w:rPr>
                <w:rFonts w:hint="default" w:ascii="Times New Roman" w:hAnsi="Times New Roman" w:eastAsia="仿宋_GB2312" w:cs="Times New Roman"/>
                <w:b w:val="0"/>
                <w:bCs/>
                <w:color w:val="000000"/>
                <w:sz w:val="24"/>
                <w:szCs w:val="24"/>
                <w:highlight w:val="none"/>
                <w:u w:val="none"/>
                <w:lang w:val="en-US" w:eastAsia="zh-CN"/>
              </w:rPr>
              <w:t>老年学校新增学习人数</w:t>
            </w:r>
            <w:r>
              <w:rPr>
                <w:rFonts w:hint="default" w:ascii="Times New Roman" w:hAnsi="Times New Roman" w:eastAsia="仿宋_GB2312" w:cs="Times New Roman"/>
                <w:b w:val="0"/>
                <w:bCs/>
                <w:strike w:val="0"/>
                <w:dstrike w:val="0"/>
                <w:color w:val="000000"/>
                <w:sz w:val="24"/>
                <w:szCs w:val="24"/>
                <w:highlight w:val="none"/>
                <w:u w:val="none"/>
                <w:lang w:val="en-US" w:eastAsia="zh-CN"/>
              </w:rPr>
              <w:t>4.67万</w:t>
            </w:r>
            <w:r>
              <w:rPr>
                <w:rFonts w:hint="default" w:ascii="Times New Roman" w:hAnsi="Times New Roman" w:eastAsia="仿宋_GB2312" w:cs="Times New Roman"/>
                <w:b w:val="0"/>
                <w:bCs/>
                <w:color w:val="000000"/>
                <w:sz w:val="24"/>
                <w:szCs w:val="24"/>
                <w:highlight w:val="none"/>
                <w:u w:val="none"/>
                <w:lang w:val="en-US" w:eastAsia="zh-CN"/>
              </w:rPr>
              <w:t>人左右，参与学习教育活动的老年人达到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23.7万</w:t>
            </w:r>
            <w:r>
              <w:rPr>
                <w:rFonts w:hint="default" w:ascii="Times New Roman" w:hAnsi="Times New Roman" w:eastAsia="仿宋_GB2312" w:cs="Times New Roman"/>
                <w:b w:val="0"/>
                <w:bCs/>
                <w:color w:val="000000"/>
                <w:sz w:val="24"/>
                <w:szCs w:val="24"/>
                <w:highlight w:val="none"/>
                <w:u w:val="none"/>
                <w:lang w:val="en-US" w:eastAsia="zh-CN"/>
              </w:rPr>
              <w:t>人左右。</w:t>
            </w:r>
          </w:p>
        </w:tc>
        <w:tc>
          <w:tcPr>
            <w:tcW w:w="3233" w:type="pct"/>
            <w:tcBorders>
              <w:tl2br w:val="nil"/>
              <w:tr2bl w:val="nil"/>
            </w:tcBorders>
            <w:noWrap w:val="0"/>
            <w:vAlign w:val="center"/>
          </w:tcPr>
          <w:p w14:paraId="464692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9</w:t>
            </w:r>
            <w:r>
              <w:rPr>
                <w:rFonts w:hint="default" w:ascii="Times New Roman" w:hAnsi="Times New Roman" w:eastAsia="仿宋_GB2312" w:cs="Times New Roman"/>
                <w:i w:val="0"/>
                <w:iCs w:val="0"/>
                <w:color w:val="auto"/>
                <w:sz w:val="24"/>
                <w:szCs w:val="24"/>
                <w:highlight w:val="none"/>
                <w:u w:val="none"/>
                <w:lang w:val="en-US" w:eastAsia="zh-CN"/>
              </w:rPr>
              <w:t>月底，全市各级各类老年学校新增学习老年人</w:t>
            </w:r>
            <w:r>
              <w:rPr>
                <w:rFonts w:hint="eastAsia" w:ascii="Times New Roman" w:hAnsi="Times New Roman" w:eastAsia="仿宋_GB2312" w:cs="Times New Roman"/>
                <w:i w:val="0"/>
                <w:iCs w:val="0"/>
                <w:color w:val="auto"/>
                <w:sz w:val="24"/>
                <w:szCs w:val="24"/>
                <w:highlight w:val="none"/>
                <w:u w:val="none"/>
                <w:lang w:val="en-US" w:eastAsia="zh-CN"/>
              </w:rPr>
              <w:t>4.981</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106.66</w:t>
            </w:r>
            <w:r>
              <w:rPr>
                <w:rFonts w:hint="default" w:ascii="Times New Roman" w:hAnsi="Times New Roman" w:eastAsia="仿宋_GB2312" w:cs="Times New Roman"/>
                <w:i w:val="0"/>
                <w:iCs w:val="0"/>
                <w:color w:val="auto"/>
                <w:sz w:val="24"/>
                <w:szCs w:val="24"/>
                <w:highlight w:val="none"/>
                <w:u w:val="none"/>
                <w:lang w:val="en-US" w:eastAsia="zh-CN"/>
              </w:rPr>
              <w:t>%；参与学习教育活动的老年人达到</w:t>
            </w:r>
            <w:r>
              <w:rPr>
                <w:rFonts w:hint="eastAsia" w:ascii="Times New Roman" w:hAnsi="Times New Roman" w:eastAsia="仿宋_GB2312" w:cs="Times New Roman"/>
                <w:i w:val="0"/>
                <w:iCs w:val="0"/>
                <w:color w:val="auto"/>
                <w:sz w:val="24"/>
                <w:szCs w:val="24"/>
                <w:highlight w:val="none"/>
                <w:u w:val="none"/>
                <w:lang w:val="en-US" w:eastAsia="zh-CN"/>
              </w:rPr>
              <w:t>24.0169</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101.34</w:t>
            </w:r>
            <w:r>
              <w:rPr>
                <w:rFonts w:hint="default" w:ascii="Times New Roman" w:hAnsi="Times New Roman" w:eastAsia="仿宋_GB2312" w:cs="Times New Roman"/>
                <w:i w:val="0"/>
                <w:iCs w:val="0"/>
                <w:color w:val="auto"/>
                <w:sz w:val="24"/>
                <w:szCs w:val="24"/>
                <w:highlight w:val="none"/>
                <w:u w:val="none"/>
                <w:lang w:val="en-US" w:eastAsia="zh-CN"/>
              </w:rPr>
              <w:t>%。</w:t>
            </w:r>
          </w:p>
        </w:tc>
      </w:tr>
      <w:tr w14:paraId="453B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199" w:type="pct"/>
            <w:tcBorders>
              <w:tl2br w:val="nil"/>
              <w:tr2bl w:val="nil"/>
            </w:tcBorders>
            <w:noWrap w:val="0"/>
            <w:vAlign w:val="center"/>
          </w:tcPr>
          <w:p w14:paraId="14EF1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15</w:t>
            </w:r>
          </w:p>
        </w:tc>
        <w:tc>
          <w:tcPr>
            <w:tcW w:w="260" w:type="pct"/>
            <w:tcBorders>
              <w:tl2br w:val="nil"/>
              <w:tr2bl w:val="nil"/>
            </w:tcBorders>
            <w:noWrap w:val="0"/>
            <w:vAlign w:val="center"/>
          </w:tcPr>
          <w:p w14:paraId="27A8D3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306" w:type="pct"/>
            <w:tcBorders>
              <w:tl2br w:val="nil"/>
              <w:tr2bl w:val="nil"/>
            </w:tcBorders>
            <w:noWrap/>
            <w:vAlign w:val="center"/>
          </w:tcPr>
          <w:p w14:paraId="17B94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（23）实施健康口腔行动，加强儿童口腔疾病综合干预，局部涂氟和窝沟封闭项目分别覆盖</w:t>
            </w:r>
            <w:r>
              <w:rPr>
                <w:rFonts w:hint="default" w:ascii="Times New Roman" w:hAnsi="Times New Roman" w:eastAsia="仿宋_GB2312" w:cs="Times New Roman"/>
                <w:b w:val="0"/>
                <w:bCs/>
                <w:strike w:val="0"/>
                <w:dstrike w:val="0"/>
                <w:color w:val="000000"/>
                <w:sz w:val="24"/>
                <w:szCs w:val="24"/>
                <w:highlight w:val="none"/>
                <w:u w:val="none"/>
                <w:lang w:val="en-US" w:eastAsia="zh-CN"/>
              </w:rPr>
              <w:t>28%</w:t>
            </w:r>
            <w:r>
              <w:rPr>
                <w:rFonts w:hint="default" w:ascii="Times New Roman" w:hAnsi="Times New Roman" w:eastAsia="仿宋_GB2312" w:cs="Times New Roman"/>
                <w:b w:val="0"/>
                <w:bCs/>
                <w:color w:val="000000"/>
                <w:sz w:val="24"/>
                <w:szCs w:val="24"/>
                <w:highlight w:val="none"/>
                <w:u w:val="none"/>
                <w:lang w:val="en-US" w:eastAsia="zh-CN"/>
              </w:rPr>
              <w:t>的适龄儿童。</w:t>
            </w:r>
          </w:p>
        </w:tc>
        <w:tc>
          <w:tcPr>
            <w:tcW w:w="3233" w:type="pct"/>
            <w:tcBorders>
              <w:tl2br w:val="nil"/>
              <w:tr2bl w:val="nil"/>
            </w:tcBorders>
            <w:noWrap w:val="0"/>
            <w:vAlign w:val="center"/>
          </w:tcPr>
          <w:p w14:paraId="7DAFC9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w:t>
            </w:r>
            <w:r>
              <w:rPr>
                <w:rFonts w:hint="eastAsia" w:ascii="Times New Roman" w:hAnsi="Times New Roman" w:eastAsia="仿宋_GB2312" w:cs="Times New Roman"/>
                <w:b w:val="0"/>
                <w:bCs/>
                <w:sz w:val="24"/>
                <w:szCs w:val="24"/>
                <w:highlight w:val="none"/>
                <w:u w:val="none"/>
                <w:lang w:val="en-US" w:eastAsia="zh-CN"/>
              </w:rPr>
              <w:t>9</w:t>
            </w:r>
            <w:r>
              <w:rPr>
                <w:rFonts w:hint="default" w:ascii="Times New Roman" w:hAnsi="Times New Roman" w:eastAsia="仿宋_GB2312" w:cs="Times New Roman"/>
                <w:b w:val="0"/>
                <w:bCs/>
                <w:sz w:val="24"/>
                <w:szCs w:val="24"/>
                <w:highlight w:val="none"/>
                <w:u w:val="none"/>
                <w:lang w:val="en-US" w:eastAsia="zh-CN"/>
              </w:rPr>
              <w:t>月底，已为</w:t>
            </w:r>
            <w:r>
              <w:rPr>
                <w:rFonts w:hint="eastAsia" w:ascii="Times New Roman" w:hAnsi="Times New Roman" w:eastAsia="仿宋_GB2312" w:cs="Times New Roman"/>
                <w:b w:val="0"/>
                <w:bCs/>
                <w:sz w:val="24"/>
                <w:szCs w:val="24"/>
                <w:highlight w:val="none"/>
                <w:u w:val="none"/>
                <w:lang w:val="en-US" w:eastAsia="zh-CN"/>
              </w:rPr>
              <w:t>5686</w:t>
            </w:r>
            <w:r>
              <w:rPr>
                <w:rFonts w:hint="default" w:ascii="Times New Roman" w:hAnsi="Times New Roman" w:eastAsia="仿宋_GB2312" w:cs="Times New Roman"/>
                <w:b w:val="0"/>
                <w:bCs/>
                <w:sz w:val="24"/>
                <w:szCs w:val="24"/>
                <w:highlight w:val="none"/>
                <w:u w:val="none"/>
                <w:lang w:val="en-US" w:eastAsia="zh-CN"/>
              </w:rPr>
              <w:t>名6-9岁儿童提供免费窝沟封闭服务，任务完成率</w:t>
            </w:r>
            <w:r>
              <w:rPr>
                <w:rFonts w:hint="eastAsia" w:ascii="Times New Roman" w:hAnsi="Times New Roman" w:eastAsia="仿宋_GB2312" w:cs="Times New Roman"/>
                <w:b w:val="0"/>
                <w:bCs/>
                <w:sz w:val="24"/>
                <w:szCs w:val="24"/>
                <w:highlight w:val="none"/>
                <w:u w:val="none"/>
                <w:lang w:val="en-US" w:eastAsia="zh-CN"/>
              </w:rPr>
              <w:t>126.36</w:t>
            </w:r>
            <w:r>
              <w:rPr>
                <w:rFonts w:hint="default" w:ascii="Times New Roman" w:hAnsi="Times New Roman" w:eastAsia="仿宋_GB2312" w:cs="Times New Roman"/>
                <w:b w:val="0"/>
                <w:bCs/>
                <w:sz w:val="24"/>
                <w:szCs w:val="24"/>
                <w:highlight w:val="none"/>
                <w:u w:val="none"/>
                <w:lang w:val="en-US" w:eastAsia="zh-CN"/>
              </w:rPr>
              <w:t>%；为</w:t>
            </w:r>
            <w:r>
              <w:rPr>
                <w:rFonts w:hint="eastAsia" w:ascii="Times New Roman" w:hAnsi="Times New Roman" w:eastAsia="仿宋_GB2312" w:cs="Times New Roman"/>
                <w:b w:val="0"/>
                <w:bCs/>
                <w:sz w:val="24"/>
                <w:szCs w:val="24"/>
                <w:highlight w:val="none"/>
                <w:u w:val="none"/>
                <w:lang w:val="en-US" w:eastAsia="zh-CN"/>
              </w:rPr>
              <w:t>19354</w:t>
            </w:r>
            <w:r>
              <w:rPr>
                <w:rFonts w:hint="default" w:ascii="Times New Roman" w:hAnsi="Times New Roman" w:eastAsia="仿宋_GB2312" w:cs="Times New Roman"/>
                <w:b w:val="0"/>
                <w:bCs/>
                <w:sz w:val="24"/>
                <w:szCs w:val="24"/>
                <w:highlight w:val="none"/>
                <w:u w:val="none"/>
                <w:lang w:val="en-US" w:eastAsia="zh-CN"/>
              </w:rPr>
              <w:t>名3-6岁儿童提供免费局部涂氟服务，任务完成率</w:t>
            </w:r>
            <w:r>
              <w:rPr>
                <w:rFonts w:hint="eastAsia" w:ascii="Times New Roman" w:hAnsi="Times New Roman" w:eastAsia="仿宋_GB2312" w:cs="Times New Roman"/>
                <w:b w:val="0"/>
                <w:bCs/>
                <w:sz w:val="24"/>
                <w:szCs w:val="24"/>
                <w:highlight w:val="none"/>
                <w:u w:val="none"/>
                <w:lang w:val="en-US" w:eastAsia="zh-CN"/>
              </w:rPr>
              <w:t>104.62</w:t>
            </w:r>
            <w:r>
              <w:rPr>
                <w:rFonts w:hint="default" w:ascii="Times New Roman" w:hAnsi="Times New Roman" w:eastAsia="仿宋_GB2312" w:cs="Times New Roman"/>
                <w:b w:val="0"/>
                <w:bCs/>
                <w:sz w:val="24"/>
                <w:szCs w:val="24"/>
                <w:highlight w:val="none"/>
                <w:u w:val="none"/>
                <w:lang w:val="en-US" w:eastAsia="zh-CN"/>
              </w:rPr>
              <w:t>%。</w:t>
            </w:r>
          </w:p>
        </w:tc>
      </w:tr>
      <w:tr w14:paraId="1660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199" w:type="pct"/>
            <w:tcBorders>
              <w:tl2br w:val="nil"/>
              <w:tr2bl w:val="nil"/>
            </w:tcBorders>
            <w:noWrap w:val="0"/>
            <w:vAlign w:val="center"/>
          </w:tcPr>
          <w:p w14:paraId="7409D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16</w:t>
            </w:r>
          </w:p>
        </w:tc>
        <w:tc>
          <w:tcPr>
            <w:tcW w:w="260" w:type="pct"/>
            <w:tcBorders>
              <w:tl2br w:val="nil"/>
              <w:tr2bl w:val="nil"/>
            </w:tcBorders>
            <w:noWrap w:val="0"/>
            <w:vAlign w:val="center"/>
          </w:tcPr>
          <w:p w14:paraId="66FE7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306" w:type="pct"/>
            <w:tcBorders>
              <w:tl2br w:val="nil"/>
              <w:tr2bl w:val="nil"/>
            </w:tcBorders>
            <w:noWrap/>
            <w:vAlign w:val="center"/>
          </w:tcPr>
          <w:p w14:paraId="272862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（24）实施出生缺陷防治提升行动，新生儿遗传代谢病筛查率和新生儿听力障碍筛查率分别达到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98%</w:t>
            </w:r>
            <w:r>
              <w:rPr>
                <w:rFonts w:hint="default" w:ascii="Times New Roman" w:hAnsi="Times New Roman" w:eastAsia="仿宋_GB2312" w:cs="Times New Roman"/>
                <w:b w:val="0"/>
                <w:bCs/>
                <w:color w:val="000000"/>
                <w:sz w:val="24"/>
                <w:szCs w:val="24"/>
                <w:highlight w:val="none"/>
                <w:u w:val="none"/>
                <w:lang w:val="en-US" w:eastAsia="zh-CN"/>
              </w:rPr>
              <w:t>以上和</w:t>
            </w:r>
            <w:r>
              <w:rPr>
                <w:rFonts w:hint="default" w:ascii="Times New Roman" w:hAnsi="Times New Roman" w:eastAsia="仿宋_GB2312" w:cs="Times New Roman"/>
                <w:b w:val="0"/>
                <w:bCs/>
                <w:strike w:val="0"/>
                <w:dstrike w:val="0"/>
                <w:color w:val="000000"/>
                <w:sz w:val="24"/>
                <w:szCs w:val="24"/>
                <w:highlight w:val="none"/>
                <w:u w:val="none"/>
                <w:lang w:val="en-US" w:eastAsia="zh-CN"/>
              </w:rPr>
              <w:t>95%</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233" w:type="pct"/>
            <w:tcBorders>
              <w:tl2br w:val="nil"/>
              <w:tr2bl w:val="nil"/>
            </w:tcBorders>
            <w:noWrap w:val="0"/>
            <w:vAlign w:val="center"/>
          </w:tcPr>
          <w:p w14:paraId="0F52BC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截至9月底，共出生人口7811人，完成新生儿疾病筛查7694人，任务完成率98.5%；听力筛查7695人，任务完成率98.5%。</w:t>
            </w:r>
          </w:p>
        </w:tc>
      </w:tr>
      <w:tr w14:paraId="6C494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199" w:type="pct"/>
            <w:vMerge w:val="restart"/>
            <w:tcBorders>
              <w:tl2br w:val="nil"/>
              <w:tr2bl w:val="nil"/>
            </w:tcBorders>
            <w:noWrap w:val="0"/>
            <w:vAlign w:val="center"/>
          </w:tcPr>
          <w:p w14:paraId="3541A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17</w:t>
            </w:r>
          </w:p>
        </w:tc>
        <w:tc>
          <w:tcPr>
            <w:tcW w:w="260" w:type="pct"/>
            <w:vMerge w:val="restart"/>
            <w:tcBorders>
              <w:tl2br w:val="nil"/>
              <w:tr2bl w:val="nil"/>
            </w:tcBorders>
            <w:noWrap w:val="0"/>
            <w:vAlign w:val="center"/>
          </w:tcPr>
          <w:p w14:paraId="283DF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p w14:paraId="5ED5A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306" w:type="pct"/>
            <w:tcBorders>
              <w:tl2br w:val="nil"/>
              <w:tr2bl w:val="nil"/>
            </w:tcBorders>
            <w:noWrap/>
            <w:vAlign w:val="center"/>
          </w:tcPr>
          <w:p w14:paraId="6A598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（25）为</w:t>
            </w:r>
            <w:r>
              <w:rPr>
                <w:rFonts w:hint="eastAsia" w:ascii="Times New Roman" w:hAnsi="Times New Roman" w:eastAsia="仿宋_GB2312" w:cs="Times New Roman"/>
                <w:b w:val="0"/>
                <w:bCs/>
                <w:strike w:val="0"/>
                <w:dstrike w:val="0"/>
                <w:color w:val="000000"/>
                <w:sz w:val="24"/>
                <w:szCs w:val="24"/>
                <w:highlight w:val="none"/>
                <w:u w:val="none"/>
                <w:lang w:val="en-US" w:eastAsia="zh-CN"/>
              </w:rPr>
              <w:t>2.71</w:t>
            </w:r>
            <w:r>
              <w:rPr>
                <w:rFonts w:hint="default" w:ascii="Times New Roman" w:hAnsi="Times New Roman" w:eastAsia="仿宋_GB2312" w:cs="Times New Roman"/>
                <w:b w:val="0"/>
                <w:bCs/>
                <w:strike w:val="0"/>
                <w:dstrike w:val="0"/>
                <w:color w:val="000000"/>
                <w:sz w:val="24"/>
                <w:szCs w:val="24"/>
                <w:highlight w:val="none"/>
                <w:u w:val="none"/>
                <w:lang w:val="en-US" w:eastAsia="zh-CN"/>
              </w:rPr>
              <w:t>万</w:t>
            </w:r>
            <w:r>
              <w:rPr>
                <w:rFonts w:hint="default" w:ascii="Times New Roman" w:hAnsi="Times New Roman" w:eastAsia="仿宋_GB2312" w:cs="Times New Roman"/>
                <w:b w:val="0"/>
                <w:bCs/>
                <w:color w:val="000000"/>
                <w:sz w:val="24"/>
                <w:szCs w:val="24"/>
                <w:highlight w:val="none"/>
                <w:u w:val="none"/>
                <w:lang w:val="en-US" w:eastAsia="zh-CN"/>
              </w:rPr>
              <w:t>名七至九年级适龄女生提供国产二价人乳头瘤病毒（HPV）疫苗免费接种服务。</w:t>
            </w:r>
          </w:p>
        </w:tc>
        <w:tc>
          <w:tcPr>
            <w:tcW w:w="3233" w:type="pct"/>
            <w:tcBorders>
              <w:tl2br w:val="nil"/>
              <w:tr2bl w:val="nil"/>
            </w:tcBorders>
            <w:noWrap w:val="0"/>
            <w:vAlign w:val="center"/>
          </w:tcPr>
          <w:p w14:paraId="6EAE83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截至9月底，已为13602名七至九年级适龄女生提供免费接种服务，任务完成率50.2%。</w:t>
            </w:r>
          </w:p>
        </w:tc>
      </w:tr>
      <w:tr w14:paraId="3AAA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99" w:type="pct"/>
            <w:vMerge w:val="continue"/>
            <w:tcBorders>
              <w:tl2br w:val="nil"/>
              <w:tr2bl w:val="nil"/>
            </w:tcBorders>
            <w:noWrap w:val="0"/>
            <w:vAlign w:val="center"/>
          </w:tcPr>
          <w:p w14:paraId="6B175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60" w:type="pct"/>
            <w:vMerge w:val="continue"/>
            <w:tcBorders>
              <w:tl2br w:val="nil"/>
              <w:tr2bl w:val="nil"/>
            </w:tcBorders>
            <w:noWrap w:val="0"/>
            <w:vAlign w:val="center"/>
          </w:tcPr>
          <w:p w14:paraId="7C60C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306" w:type="pct"/>
            <w:tcBorders>
              <w:tl2br w:val="nil"/>
              <w:tr2bl w:val="nil"/>
            </w:tcBorders>
            <w:noWrap/>
            <w:vAlign w:val="center"/>
          </w:tcPr>
          <w:p w14:paraId="667BA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（26）为农村地区适龄妇女提供</w:t>
            </w:r>
            <w:r>
              <w:rPr>
                <w:rFonts w:hint="default" w:ascii="Times New Roman" w:hAnsi="Times New Roman" w:eastAsia="仿宋_GB2312" w:cs="Times New Roman"/>
                <w:b w:val="0"/>
                <w:bCs/>
                <w:strike w:val="0"/>
                <w:dstrike w:val="0"/>
                <w:color w:val="000000"/>
                <w:sz w:val="24"/>
                <w:szCs w:val="24"/>
                <w:highlight w:val="none"/>
                <w:u w:val="none"/>
                <w:lang w:val="en-US" w:eastAsia="zh-CN"/>
              </w:rPr>
              <w:t>3.84万</w:t>
            </w:r>
            <w:r>
              <w:rPr>
                <w:rFonts w:hint="default" w:ascii="Times New Roman" w:hAnsi="Times New Roman" w:eastAsia="仿宋_GB2312" w:cs="Times New Roman"/>
                <w:b w:val="0"/>
                <w:bCs/>
                <w:color w:val="000000"/>
                <w:sz w:val="24"/>
                <w:szCs w:val="24"/>
                <w:highlight w:val="none"/>
                <w:u w:val="none"/>
                <w:lang w:val="en-US" w:eastAsia="zh-CN"/>
              </w:rPr>
              <w:t>人次宫颈癌、</w:t>
            </w:r>
            <w:r>
              <w:rPr>
                <w:rFonts w:hint="default" w:ascii="Times New Roman" w:hAnsi="Times New Roman" w:eastAsia="仿宋_GB2312" w:cs="Times New Roman"/>
                <w:b w:val="0"/>
                <w:bCs/>
                <w:strike w:val="0"/>
                <w:dstrike w:val="0"/>
                <w:color w:val="000000"/>
                <w:sz w:val="24"/>
                <w:szCs w:val="24"/>
                <w:highlight w:val="none"/>
                <w:u w:val="none"/>
                <w:lang w:val="en-US" w:eastAsia="zh-CN"/>
              </w:rPr>
              <w:t>1.06万</w:t>
            </w:r>
            <w:r>
              <w:rPr>
                <w:rFonts w:hint="default" w:ascii="Times New Roman" w:hAnsi="Times New Roman" w:eastAsia="仿宋_GB2312" w:cs="Times New Roman"/>
                <w:b w:val="0"/>
                <w:bCs/>
                <w:color w:val="000000"/>
                <w:sz w:val="24"/>
                <w:szCs w:val="24"/>
                <w:highlight w:val="none"/>
                <w:u w:val="none"/>
                <w:lang w:val="en-US" w:eastAsia="zh-CN"/>
              </w:rPr>
              <w:t>人次乳腺癌免费筛查服务。</w:t>
            </w:r>
          </w:p>
        </w:tc>
        <w:tc>
          <w:tcPr>
            <w:tcW w:w="3233" w:type="pct"/>
            <w:tcBorders>
              <w:tl2br w:val="nil"/>
              <w:tr2bl w:val="nil"/>
            </w:tcBorders>
            <w:noWrap w:val="0"/>
            <w:vAlign w:val="center"/>
          </w:tcPr>
          <w:p w14:paraId="54598E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截至9月底，宫颈癌筛查已完成34944人，任务完成率90.1%；乳腺癌筛查已完成9455人，任务完成率89.2%。</w:t>
            </w:r>
          </w:p>
        </w:tc>
      </w:tr>
      <w:tr w14:paraId="7DEB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99" w:type="pct"/>
            <w:tcBorders>
              <w:tl2br w:val="nil"/>
              <w:tr2bl w:val="nil"/>
            </w:tcBorders>
            <w:noWrap w:val="0"/>
            <w:vAlign w:val="center"/>
          </w:tcPr>
          <w:p w14:paraId="6F7C6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18</w:t>
            </w:r>
          </w:p>
        </w:tc>
        <w:tc>
          <w:tcPr>
            <w:tcW w:w="260" w:type="pct"/>
            <w:tcBorders>
              <w:tl2br w:val="nil"/>
              <w:tr2bl w:val="nil"/>
            </w:tcBorders>
            <w:noWrap w:val="0"/>
            <w:vAlign w:val="center"/>
          </w:tcPr>
          <w:p w14:paraId="0C071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1306" w:type="pct"/>
            <w:tcBorders>
              <w:tl2br w:val="nil"/>
              <w:tr2bl w:val="nil"/>
            </w:tcBorders>
            <w:noWrap/>
            <w:vAlign w:val="center"/>
          </w:tcPr>
          <w:p w14:paraId="7E8AF3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（27）开展农村黑臭水体治理，新增完成</w:t>
            </w:r>
            <w:r>
              <w:rPr>
                <w:rFonts w:hint="default" w:ascii="Times New Roman" w:hAnsi="Times New Roman" w:eastAsia="仿宋_GB2312" w:cs="Times New Roman"/>
                <w:b w:val="0"/>
                <w:bCs/>
                <w:strike w:val="0"/>
                <w:dstrike w:val="0"/>
                <w:color w:val="000000"/>
                <w:sz w:val="24"/>
                <w:szCs w:val="24"/>
                <w:highlight w:val="none"/>
                <w:u w:val="none"/>
                <w:lang w:val="en-US" w:eastAsia="zh-CN"/>
              </w:rPr>
              <w:t>82</w:t>
            </w:r>
            <w:r>
              <w:rPr>
                <w:rFonts w:hint="default" w:ascii="Times New Roman" w:hAnsi="Times New Roman" w:eastAsia="仿宋_GB2312" w:cs="Times New Roman"/>
                <w:b w:val="0"/>
                <w:bCs/>
                <w:color w:val="000000"/>
                <w:sz w:val="24"/>
                <w:szCs w:val="24"/>
                <w:highlight w:val="none"/>
                <w:u w:val="none"/>
                <w:lang w:val="en-US" w:eastAsia="zh-CN"/>
              </w:rPr>
              <w:t>条以上农村黑臭水体治理任务。</w:t>
            </w:r>
          </w:p>
        </w:tc>
        <w:tc>
          <w:tcPr>
            <w:tcW w:w="3233" w:type="pct"/>
            <w:tcBorders>
              <w:tl2br w:val="nil"/>
              <w:tr2bl w:val="nil"/>
            </w:tcBorders>
            <w:noWrap w:val="0"/>
            <w:vAlign w:val="center"/>
          </w:tcPr>
          <w:p w14:paraId="1B1D1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截至9月底，</w:t>
            </w:r>
            <w:r>
              <w:rPr>
                <w:rFonts w:hint="default" w:ascii="Times New Roman" w:hAnsi="Times New Roman" w:eastAsia="仿宋_GB2312" w:cs="Times New Roman"/>
                <w:i w:val="0"/>
                <w:iCs w:val="0"/>
                <w:color w:val="000000"/>
                <w:sz w:val="24"/>
                <w:szCs w:val="24"/>
                <w:highlight w:val="none"/>
                <w:u w:val="none"/>
              </w:rPr>
              <w:t>已完成治理</w:t>
            </w:r>
            <w:r>
              <w:rPr>
                <w:rFonts w:hint="default" w:ascii="Times New Roman" w:hAnsi="Times New Roman" w:eastAsia="仿宋_GB2312" w:cs="Times New Roman"/>
                <w:i w:val="0"/>
                <w:iCs w:val="0"/>
                <w:color w:val="000000"/>
                <w:sz w:val="24"/>
                <w:szCs w:val="24"/>
                <w:highlight w:val="none"/>
                <w:u w:val="none"/>
                <w:lang w:val="en-US" w:eastAsia="zh-CN"/>
              </w:rPr>
              <w:t>74</w:t>
            </w:r>
            <w:r>
              <w:rPr>
                <w:rFonts w:hint="default" w:ascii="Times New Roman" w:hAnsi="Times New Roman" w:eastAsia="仿宋_GB2312" w:cs="Times New Roman"/>
                <w:i w:val="0"/>
                <w:iCs w:val="0"/>
                <w:color w:val="000000"/>
                <w:sz w:val="24"/>
                <w:szCs w:val="24"/>
                <w:highlight w:val="none"/>
                <w:u w:val="none"/>
              </w:rPr>
              <w:t>条</w:t>
            </w:r>
            <w:r>
              <w:rPr>
                <w:rFonts w:hint="default" w:ascii="Times New Roman" w:hAnsi="Times New Roman" w:eastAsia="仿宋_GB2312" w:cs="Times New Roman"/>
                <w:i w:val="0"/>
                <w:iCs w:val="0"/>
                <w:color w:val="000000"/>
                <w:sz w:val="24"/>
                <w:szCs w:val="24"/>
                <w:highlight w:val="none"/>
                <w:u w:val="none"/>
                <w:lang w:eastAsia="zh-CN"/>
              </w:rPr>
              <w:t>，任务完成率</w:t>
            </w:r>
            <w:r>
              <w:rPr>
                <w:rFonts w:hint="default" w:ascii="Times New Roman" w:hAnsi="Times New Roman" w:eastAsia="仿宋_GB2312" w:cs="Times New Roman"/>
                <w:i w:val="0"/>
                <w:iCs w:val="0"/>
                <w:color w:val="000000"/>
                <w:sz w:val="24"/>
                <w:szCs w:val="24"/>
                <w:highlight w:val="none"/>
                <w:u w:val="none"/>
                <w:lang w:val="en-US" w:eastAsia="zh-CN"/>
              </w:rPr>
              <w:t>90.2%</w:t>
            </w:r>
            <w:r>
              <w:rPr>
                <w:rFonts w:hint="default" w:ascii="Times New Roman" w:hAnsi="Times New Roman" w:eastAsia="仿宋_GB2312" w:cs="Times New Roman"/>
                <w:i w:val="0"/>
                <w:iCs w:val="0"/>
                <w:color w:val="000000"/>
                <w:sz w:val="24"/>
                <w:szCs w:val="24"/>
                <w:highlight w:val="none"/>
                <w:u w:val="none"/>
              </w:rPr>
              <w:t>。</w:t>
            </w:r>
            <w:r>
              <w:rPr>
                <w:rFonts w:hint="default" w:ascii="Times New Roman" w:hAnsi="Times New Roman" w:eastAsia="仿宋_GB2312" w:cs="Times New Roman"/>
                <w:i w:val="0"/>
                <w:iCs w:val="0"/>
                <w:color w:val="000000"/>
                <w:sz w:val="24"/>
                <w:szCs w:val="24"/>
                <w:highlight w:val="none"/>
                <w:u w:val="none"/>
                <w:lang w:val="en-US" w:eastAsia="zh-CN"/>
              </w:rPr>
              <w:t>8条正在治理，其中：寿县3条、凤台县3条、毛集实验区2条。</w:t>
            </w:r>
          </w:p>
        </w:tc>
      </w:tr>
      <w:tr w14:paraId="7B34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199" w:type="pct"/>
            <w:tcBorders>
              <w:tl2br w:val="nil"/>
              <w:tr2bl w:val="nil"/>
            </w:tcBorders>
            <w:noWrap w:val="0"/>
            <w:vAlign w:val="center"/>
          </w:tcPr>
          <w:p w14:paraId="5C97D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19</w:t>
            </w:r>
          </w:p>
        </w:tc>
        <w:tc>
          <w:tcPr>
            <w:tcW w:w="260" w:type="pct"/>
            <w:tcBorders>
              <w:tl2br w:val="nil"/>
              <w:tr2bl w:val="nil"/>
            </w:tcBorders>
            <w:noWrap w:val="0"/>
            <w:vAlign w:val="center"/>
          </w:tcPr>
          <w:p w14:paraId="3D6DB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1306" w:type="pct"/>
            <w:tcBorders>
              <w:tl2br w:val="nil"/>
              <w:tr2bl w:val="nil"/>
            </w:tcBorders>
            <w:noWrap/>
            <w:vAlign w:val="center"/>
          </w:tcPr>
          <w:p w14:paraId="5FED04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（28）深入推进餐饮油烟、噪声及恶臭异味扰民问题整治行动，群众“家门口”的生态环境问题得到有效整治。</w:t>
            </w:r>
          </w:p>
        </w:tc>
        <w:tc>
          <w:tcPr>
            <w:tcW w:w="3233" w:type="pct"/>
            <w:tcBorders>
              <w:tl2br w:val="nil"/>
              <w:tr2bl w:val="nil"/>
            </w:tcBorders>
            <w:noWrap w:val="0"/>
            <w:vAlign w:val="center"/>
          </w:tcPr>
          <w:p w14:paraId="6D1CB3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9月底，市梳理排查上报餐饮油烟、恶臭、噪声、道路扬尘扰民等问题清单共6132个，已完成整改6126个，整改完成率99.90%。其中餐饮油烟问题761个，全部完成整改；恶臭扰民问题668个，已完成整改665个，整改完成率99.55%;噪声问题4463个，已完成整改4460个，整改完成率99.93%。道路扬尘问题240个，全部完成整改。</w:t>
            </w:r>
          </w:p>
        </w:tc>
      </w:tr>
      <w:tr w14:paraId="2841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99" w:type="pct"/>
            <w:tcBorders>
              <w:tl2br w:val="nil"/>
              <w:tr2bl w:val="nil"/>
            </w:tcBorders>
            <w:noWrap w:val="0"/>
            <w:vAlign w:val="center"/>
          </w:tcPr>
          <w:p w14:paraId="3FDB7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20</w:t>
            </w:r>
          </w:p>
        </w:tc>
        <w:tc>
          <w:tcPr>
            <w:tcW w:w="260" w:type="pct"/>
            <w:tcBorders>
              <w:tl2br w:val="nil"/>
              <w:tr2bl w:val="nil"/>
            </w:tcBorders>
            <w:noWrap w:val="0"/>
            <w:vAlign w:val="center"/>
          </w:tcPr>
          <w:p w14:paraId="1F079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市交通运输局</w:t>
            </w:r>
          </w:p>
        </w:tc>
        <w:tc>
          <w:tcPr>
            <w:tcW w:w="1306" w:type="pct"/>
            <w:tcBorders>
              <w:tl2br w:val="nil"/>
              <w:tr2bl w:val="nil"/>
            </w:tcBorders>
            <w:noWrap/>
            <w:vAlign w:val="center"/>
          </w:tcPr>
          <w:p w14:paraId="449B50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（29）深入推进新一轮“四好农村路”建设，实施农村公路提质改造工程</w:t>
            </w:r>
            <w:r>
              <w:rPr>
                <w:rFonts w:hint="default" w:ascii="Times New Roman" w:hAnsi="Times New Roman" w:eastAsia="仿宋_GB2312" w:cs="Times New Roman"/>
                <w:b w:val="0"/>
                <w:bCs/>
                <w:strike w:val="0"/>
                <w:dstrike w:val="0"/>
                <w:color w:val="000000"/>
                <w:sz w:val="24"/>
                <w:szCs w:val="24"/>
                <w:highlight w:val="none"/>
                <w:u w:val="none"/>
                <w:lang w:val="en-US" w:eastAsia="zh-CN"/>
              </w:rPr>
              <w:t>210</w:t>
            </w:r>
            <w:r>
              <w:rPr>
                <w:rFonts w:hint="default" w:ascii="Times New Roman" w:hAnsi="Times New Roman" w:eastAsia="仿宋_GB2312" w:cs="Times New Roman"/>
                <w:b w:val="0"/>
                <w:bCs/>
                <w:color w:val="000000"/>
                <w:sz w:val="24"/>
                <w:szCs w:val="24"/>
                <w:highlight w:val="none"/>
                <w:u w:val="none"/>
                <w:lang w:val="en-US" w:eastAsia="zh-CN"/>
              </w:rPr>
              <w:t>公里。</w:t>
            </w:r>
          </w:p>
        </w:tc>
        <w:tc>
          <w:tcPr>
            <w:tcW w:w="3233" w:type="pct"/>
            <w:tcBorders>
              <w:tl2br w:val="nil"/>
              <w:tr2bl w:val="nil"/>
            </w:tcBorders>
            <w:noWrap w:val="0"/>
            <w:vAlign w:val="center"/>
          </w:tcPr>
          <w:p w14:paraId="75671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color w:val="auto"/>
                <w:sz w:val="24"/>
                <w:szCs w:val="24"/>
                <w:highlight w:val="none"/>
                <w:u w:val="none"/>
                <w:lang w:val="en-US" w:eastAsia="zh-CN"/>
              </w:rPr>
              <w:t>截止9月底，已完工172.847公里，完工率82.3%；完成投资29342万元，完成投资率83.8%。</w:t>
            </w:r>
          </w:p>
        </w:tc>
      </w:tr>
      <w:tr w14:paraId="475BE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99" w:type="pct"/>
            <w:tcBorders>
              <w:tl2br w:val="nil"/>
              <w:tr2bl w:val="nil"/>
            </w:tcBorders>
            <w:noWrap w:val="0"/>
            <w:vAlign w:val="center"/>
          </w:tcPr>
          <w:p w14:paraId="3935C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21</w:t>
            </w:r>
          </w:p>
        </w:tc>
        <w:tc>
          <w:tcPr>
            <w:tcW w:w="260" w:type="pct"/>
            <w:tcBorders>
              <w:tl2br w:val="nil"/>
              <w:tr2bl w:val="nil"/>
            </w:tcBorders>
            <w:noWrap w:val="0"/>
            <w:vAlign w:val="center"/>
          </w:tcPr>
          <w:p w14:paraId="06005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306" w:type="pct"/>
            <w:tcBorders>
              <w:tl2br w:val="nil"/>
              <w:tr2bl w:val="nil"/>
            </w:tcBorders>
            <w:noWrap/>
            <w:vAlign w:val="center"/>
          </w:tcPr>
          <w:p w14:paraId="3BA01C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eastAsia="zh-CN"/>
              </w:rPr>
              <w:t>）实施便民停车行动，新增城市停车泊位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2.7</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r>
              <w:rPr>
                <w:rFonts w:hint="default" w:ascii="Times New Roman" w:hAnsi="Times New Roman" w:eastAsia="仿宋_GB2312" w:cs="Times New Roman"/>
                <w:b w:val="0"/>
                <w:bCs/>
                <w:color w:val="000000"/>
                <w:sz w:val="24"/>
                <w:szCs w:val="24"/>
                <w:highlight w:val="none"/>
                <w:u w:val="none"/>
                <w:lang w:val="en-US" w:eastAsia="zh-CN"/>
              </w:rPr>
              <w:t>其中公共停车泊位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2250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233" w:type="pct"/>
            <w:tcBorders>
              <w:tl2br w:val="nil"/>
              <w:tr2bl w:val="nil"/>
            </w:tcBorders>
            <w:noWrap w:val="0"/>
            <w:vAlign w:val="center"/>
          </w:tcPr>
          <w:p w14:paraId="782B2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截</w:t>
            </w:r>
            <w:r>
              <w:rPr>
                <w:rFonts w:hint="eastAsia" w:ascii="Times New Roman" w:hAnsi="Times New Roman" w:eastAsia="仿宋_GB2312" w:cs="Times New Roman"/>
                <w:i w:val="0"/>
                <w:iCs w:val="0"/>
                <w:color w:val="000000"/>
                <w:sz w:val="24"/>
                <w:szCs w:val="24"/>
                <w:highlight w:val="none"/>
                <w:u w:val="none"/>
                <w:lang w:eastAsia="zh-CN"/>
              </w:rPr>
              <w:t>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eastAsia="zh-CN"/>
              </w:rPr>
              <w:t>月底，新增城市停车泊位</w:t>
            </w:r>
            <w:r>
              <w:rPr>
                <w:rFonts w:hint="eastAsia" w:ascii="Times New Roman" w:hAnsi="Times New Roman" w:eastAsia="仿宋_GB2312" w:cs="Times New Roman"/>
                <w:i w:val="0"/>
                <w:iCs w:val="0"/>
                <w:color w:val="000000"/>
                <w:sz w:val="24"/>
                <w:szCs w:val="24"/>
                <w:highlight w:val="none"/>
                <w:u w:val="none"/>
                <w:lang w:val="en-US" w:eastAsia="zh-CN"/>
              </w:rPr>
              <w:t>2.79</w:t>
            </w:r>
            <w:r>
              <w:rPr>
                <w:rFonts w:hint="default" w:ascii="Times New Roman" w:hAnsi="Times New Roman" w:eastAsia="仿宋_GB2312" w:cs="Times New Roman"/>
                <w:i w:val="0"/>
                <w:iCs w:val="0"/>
                <w:color w:val="000000"/>
                <w:sz w:val="24"/>
                <w:szCs w:val="24"/>
                <w:highlight w:val="none"/>
                <w:u w:val="none"/>
                <w:lang w:val="en-US" w:eastAsia="zh-CN"/>
              </w:rPr>
              <w:t>万</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103.4</w:t>
            </w:r>
            <w:r>
              <w:rPr>
                <w:rFonts w:hint="default" w:ascii="Times New Roman" w:hAnsi="Times New Roman" w:eastAsia="仿宋_GB2312" w:cs="Times New Roman"/>
                <w:i w:val="0"/>
                <w:iCs w:val="0"/>
                <w:color w:val="000000"/>
                <w:sz w:val="24"/>
                <w:szCs w:val="24"/>
                <w:highlight w:val="none"/>
                <w:u w:val="none"/>
                <w:lang w:eastAsia="zh-CN"/>
              </w:rPr>
              <w:t>%，其中新增公共停车泊位数</w:t>
            </w:r>
            <w:r>
              <w:rPr>
                <w:rFonts w:hint="eastAsia" w:ascii="Times New Roman" w:hAnsi="Times New Roman" w:eastAsia="仿宋_GB2312" w:cs="Times New Roman"/>
                <w:i w:val="0"/>
                <w:iCs w:val="0"/>
                <w:color w:val="000000"/>
                <w:sz w:val="24"/>
                <w:szCs w:val="24"/>
                <w:highlight w:val="none"/>
                <w:u w:val="none"/>
                <w:lang w:val="en-US" w:eastAsia="zh-CN"/>
              </w:rPr>
              <w:t>6156</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273.6</w:t>
            </w:r>
            <w:r>
              <w:rPr>
                <w:rFonts w:hint="default" w:ascii="Times New Roman" w:hAnsi="Times New Roman" w:eastAsia="仿宋_GB2312" w:cs="Times New Roman"/>
                <w:i w:val="0"/>
                <w:iCs w:val="0"/>
                <w:color w:val="000000"/>
                <w:sz w:val="24"/>
                <w:szCs w:val="24"/>
                <w:highlight w:val="none"/>
                <w:u w:val="none"/>
                <w:lang w:eastAsia="zh-CN"/>
              </w:rPr>
              <w:t>%。</w:t>
            </w:r>
          </w:p>
        </w:tc>
      </w:tr>
      <w:tr w14:paraId="2179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99" w:type="pct"/>
            <w:vMerge w:val="restart"/>
            <w:tcBorders>
              <w:tl2br w:val="nil"/>
              <w:tr2bl w:val="nil"/>
            </w:tcBorders>
            <w:noWrap w:val="0"/>
            <w:vAlign w:val="center"/>
          </w:tcPr>
          <w:p w14:paraId="504D1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22</w:t>
            </w:r>
          </w:p>
        </w:tc>
        <w:tc>
          <w:tcPr>
            <w:tcW w:w="260" w:type="pct"/>
            <w:vMerge w:val="restart"/>
            <w:tcBorders>
              <w:tl2br w:val="nil"/>
              <w:tr2bl w:val="nil"/>
            </w:tcBorders>
            <w:noWrap w:val="0"/>
            <w:vAlign w:val="center"/>
          </w:tcPr>
          <w:p w14:paraId="3F34F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市委宣传部、市文旅局</w:t>
            </w:r>
          </w:p>
        </w:tc>
        <w:tc>
          <w:tcPr>
            <w:tcW w:w="1306" w:type="pct"/>
            <w:tcBorders>
              <w:tl2br w:val="nil"/>
              <w:tr2bl w:val="nil"/>
            </w:tcBorders>
            <w:noWrap/>
            <w:vAlign w:val="center"/>
          </w:tcPr>
          <w:p w14:paraId="36B9FA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31</w:t>
            </w:r>
            <w:r>
              <w:rPr>
                <w:rFonts w:hint="default" w:ascii="Times New Roman" w:hAnsi="Times New Roman" w:eastAsia="仿宋_GB2312" w:cs="Times New Roman"/>
                <w:b w:val="0"/>
                <w:bCs/>
                <w:color w:val="000000"/>
                <w:sz w:val="24"/>
                <w:szCs w:val="24"/>
                <w:highlight w:val="none"/>
                <w:u w:val="none"/>
                <w:lang w:eastAsia="zh-CN"/>
              </w:rPr>
              <w:t>）完善便民文化设施，依托“15分钟阅读圈”建设，建成</w:t>
            </w:r>
            <w:r>
              <w:rPr>
                <w:rFonts w:hint="default" w:ascii="Times New Roman" w:hAnsi="Times New Roman" w:eastAsia="仿宋_GB2312" w:cs="Times New Roman"/>
                <w:b w:val="0"/>
                <w:bCs/>
                <w:strike w:val="0"/>
                <w:dstrike w:val="0"/>
                <w:color w:val="000000"/>
                <w:sz w:val="24"/>
                <w:szCs w:val="24"/>
                <w:highlight w:val="none"/>
                <w:u w:val="none"/>
                <w:lang w:val="en-US" w:eastAsia="zh-CN"/>
              </w:rPr>
              <w:t>22</w:t>
            </w:r>
            <w:r>
              <w:rPr>
                <w:rFonts w:hint="default" w:ascii="Times New Roman" w:hAnsi="Times New Roman" w:eastAsia="仿宋_GB2312" w:cs="Times New Roman"/>
                <w:b w:val="0"/>
                <w:bCs/>
                <w:color w:val="000000"/>
                <w:sz w:val="24"/>
                <w:szCs w:val="24"/>
                <w:highlight w:val="none"/>
                <w:u w:val="none"/>
                <w:lang w:eastAsia="zh-CN"/>
              </w:rPr>
              <w:t>个公共文化空间。</w:t>
            </w:r>
          </w:p>
        </w:tc>
        <w:tc>
          <w:tcPr>
            <w:tcW w:w="3233" w:type="pct"/>
            <w:tcBorders>
              <w:tl2br w:val="nil"/>
              <w:tr2bl w:val="nil"/>
            </w:tcBorders>
            <w:noWrap w:val="0"/>
            <w:vAlign w:val="center"/>
          </w:tcPr>
          <w:p w14:paraId="5BBC5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已</w:t>
            </w:r>
            <w:r>
              <w:rPr>
                <w:rFonts w:hint="eastAsia" w:ascii="Times New Roman" w:hAnsi="Times New Roman" w:eastAsia="仿宋_GB2312" w:cs="Times New Roman"/>
                <w:i w:val="0"/>
                <w:iCs w:val="0"/>
                <w:color w:val="000000"/>
                <w:sz w:val="24"/>
                <w:szCs w:val="24"/>
                <w:highlight w:val="none"/>
                <w:u w:val="none"/>
                <w:lang w:val="en-US" w:eastAsia="zh-CN"/>
              </w:rPr>
              <w:t>建成22个公共文化空间。</w:t>
            </w:r>
          </w:p>
        </w:tc>
      </w:tr>
      <w:tr w14:paraId="7F716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199" w:type="pct"/>
            <w:vMerge w:val="continue"/>
            <w:tcBorders>
              <w:tl2br w:val="nil"/>
              <w:tr2bl w:val="nil"/>
            </w:tcBorders>
            <w:noWrap w:val="0"/>
            <w:vAlign w:val="center"/>
          </w:tcPr>
          <w:p w14:paraId="65D0971A">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759FBF0A">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ign w:val="center"/>
          </w:tcPr>
          <w:p w14:paraId="79CFAB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（32）每个公共文化空间年举办各类活动不少于40场、年服务群众不少于2万人次。</w:t>
            </w:r>
          </w:p>
        </w:tc>
        <w:tc>
          <w:tcPr>
            <w:tcW w:w="3233" w:type="pct"/>
            <w:tcBorders>
              <w:tl2br w:val="nil"/>
              <w:tr2bl w:val="nil"/>
            </w:tcBorders>
            <w:noWrap w:val="0"/>
            <w:vAlign w:val="center"/>
          </w:tcPr>
          <w:p w14:paraId="10990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月底，全市公共文化空间已开展活动</w:t>
            </w:r>
            <w:r>
              <w:rPr>
                <w:rFonts w:hint="eastAsia" w:ascii="Times New Roman" w:hAnsi="Times New Roman" w:eastAsia="仿宋_GB2312" w:cs="Times New Roman"/>
                <w:i w:val="0"/>
                <w:iCs w:val="0"/>
                <w:color w:val="000000"/>
                <w:sz w:val="24"/>
                <w:szCs w:val="24"/>
                <w:highlight w:val="none"/>
                <w:u w:val="none"/>
                <w:lang w:val="en-US" w:eastAsia="zh-CN"/>
              </w:rPr>
              <w:t>1067</w:t>
            </w:r>
            <w:r>
              <w:rPr>
                <w:rFonts w:hint="default" w:ascii="Times New Roman" w:hAnsi="Times New Roman" w:eastAsia="仿宋_GB2312" w:cs="Times New Roman"/>
                <w:i w:val="0"/>
                <w:iCs w:val="0"/>
                <w:color w:val="000000"/>
                <w:sz w:val="24"/>
                <w:szCs w:val="24"/>
                <w:highlight w:val="none"/>
                <w:u w:val="none"/>
                <w:lang w:val="en-US" w:eastAsia="zh-CN"/>
              </w:rPr>
              <w:t>场次，</w:t>
            </w:r>
            <w:r>
              <w:rPr>
                <w:rFonts w:hint="eastAsia" w:ascii="Times New Roman" w:hAnsi="Times New Roman" w:eastAsia="仿宋_GB2312" w:cs="Times New Roman"/>
                <w:i w:val="0"/>
                <w:iCs w:val="0"/>
                <w:color w:val="000000"/>
                <w:sz w:val="24"/>
                <w:szCs w:val="24"/>
                <w:highlight w:val="none"/>
                <w:u w:val="none"/>
                <w:lang w:val="en-US" w:eastAsia="zh-CN"/>
              </w:rPr>
              <w:t>任务完成率121%，</w:t>
            </w:r>
            <w:r>
              <w:rPr>
                <w:rFonts w:hint="default" w:ascii="Times New Roman" w:hAnsi="Times New Roman" w:eastAsia="仿宋_GB2312" w:cs="Times New Roman"/>
                <w:i w:val="0"/>
                <w:iCs w:val="0"/>
                <w:color w:val="000000"/>
                <w:sz w:val="24"/>
                <w:szCs w:val="24"/>
                <w:highlight w:val="none"/>
                <w:u w:val="none"/>
                <w:lang w:val="en-US" w:eastAsia="zh-CN"/>
              </w:rPr>
              <w:t>服务群众</w:t>
            </w:r>
            <w:r>
              <w:rPr>
                <w:rFonts w:hint="eastAsia" w:ascii="Times New Roman" w:hAnsi="Times New Roman" w:eastAsia="仿宋_GB2312" w:cs="Times New Roman"/>
                <w:i w:val="0"/>
                <w:iCs w:val="0"/>
                <w:color w:val="000000"/>
                <w:sz w:val="24"/>
                <w:szCs w:val="24"/>
                <w:highlight w:val="none"/>
                <w:u w:val="none"/>
                <w:lang w:val="en-US" w:eastAsia="zh-CN"/>
              </w:rPr>
              <w:t>92.1</w:t>
            </w:r>
            <w:r>
              <w:rPr>
                <w:rFonts w:hint="default" w:ascii="Times New Roman" w:hAnsi="Times New Roman" w:eastAsia="仿宋_GB2312" w:cs="Times New Roman"/>
                <w:i w:val="0"/>
                <w:iCs w:val="0"/>
                <w:color w:val="000000"/>
                <w:sz w:val="24"/>
                <w:szCs w:val="24"/>
                <w:highlight w:val="none"/>
                <w:u w:val="none"/>
                <w:lang w:val="en-US" w:eastAsia="zh-CN"/>
              </w:rPr>
              <w:t>万人次</w:t>
            </w:r>
            <w:r>
              <w:rPr>
                <w:rFonts w:hint="eastAsia" w:ascii="Times New Roman" w:hAnsi="Times New Roman" w:eastAsia="仿宋_GB2312" w:cs="Times New Roman"/>
                <w:i w:val="0"/>
                <w:iCs w:val="0"/>
                <w:color w:val="000000"/>
                <w:sz w:val="24"/>
                <w:szCs w:val="24"/>
                <w:highlight w:val="none"/>
                <w:u w:val="none"/>
                <w:lang w:val="en-US" w:eastAsia="zh-CN"/>
              </w:rPr>
              <w:t>，任务完成率209%。</w:t>
            </w:r>
          </w:p>
        </w:tc>
      </w:tr>
      <w:tr w14:paraId="506B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99" w:type="pct"/>
            <w:tcBorders>
              <w:tl2br w:val="nil"/>
              <w:tr2bl w:val="nil"/>
            </w:tcBorders>
            <w:noWrap w:val="0"/>
            <w:vAlign w:val="center"/>
          </w:tcPr>
          <w:p w14:paraId="1651E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23</w:t>
            </w:r>
          </w:p>
        </w:tc>
        <w:tc>
          <w:tcPr>
            <w:tcW w:w="260" w:type="pct"/>
            <w:tcBorders>
              <w:tl2br w:val="nil"/>
              <w:tr2bl w:val="nil"/>
            </w:tcBorders>
            <w:noWrap w:val="0"/>
            <w:vAlign w:val="center"/>
          </w:tcPr>
          <w:p w14:paraId="1911D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市文旅局</w:t>
            </w:r>
          </w:p>
        </w:tc>
        <w:tc>
          <w:tcPr>
            <w:tcW w:w="1306" w:type="pct"/>
            <w:tcBorders>
              <w:tl2br w:val="nil"/>
              <w:tr2bl w:val="nil"/>
            </w:tcBorders>
            <w:noWrap/>
            <w:vAlign w:val="center"/>
          </w:tcPr>
          <w:p w14:paraId="155A3F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33</w:t>
            </w:r>
            <w:r>
              <w:rPr>
                <w:rFonts w:hint="default" w:ascii="Times New Roman" w:hAnsi="Times New Roman" w:eastAsia="仿宋_GB2312" w:cs="Times New Roman"/>
                <w:b w:val="0"/>
                <w:bCs/>
                <w:color w:val="000000"/>
                <w:sz w:val="24"/>
                <w:szCs w:val="24"/>
                <w:highlight w:val="none"/>
                <w:u w:val="none"/>
                <w:lang w:eastAsia="zh-CN"/>
              </w:rPr>
              <w:t>）开展送戏进万村活动，向全</w:t>
            </w:r>
            <w:r>
              <w:rPr>
                <w:rFonts w:hint="default" w:ascii="Times New Roman" w:hAnsi="Times New Roman" w:eastAsia="仿宋_GB2312" w:cs="Times New Roman"/>
                <w:b w:val="0"/>
                <w:bCs/>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每个行政村送演出不少于1场。</w:t>
            </w:r>
          </w:p>
        </w:tc>
        <w:tc>
          <w:tcPr>
            <w:tcW w:w="3233" w:type="pct"/>
            <w:tcBorders>
              <w:tl2br w:val="nil"/>
              <w:tr2bl w:val="nil"/>
            </w:tcBorders>
            <w:noWrap w:val="0"/>
            <w:vAlign w:val="center"/>
          </w:tcPr>
          <w:p w14:paraId="4D008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全年目标任务数为</w:t>
            </w:r>
            <w:r>
              <w:rPr>
                <w:rFonts w:hint="default" w:ascii="Times New Roman" w:hAnsi="Times New Roman" w:eastAsia="仿宋_GB2312" w:cs="Times New Roman"/>
                <w:i w:val="0"/>
                <w:iCs w:val="0"/>
                <w:color w:val="000000"/>
                <w:sz w:val="24"/>
                <w:szCs w:val="24"/>
                <w:highlight w:val="none"/>
                <w:u w:val="none"/>
                <w:lang w:val="en-US" w:eastAsia="zh-CN"/>
              </w:rPr>
              <w:t>832场，截至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月底，已完成8</w:t>
            </w:r>
            <w:r>
              <w:rPr>
                <w:rFonts w:hint="eastAsia" w:ascii="Times New Roman" w:hAnsi="Times New Roman" w:eastAsia="仿宋_GB2312" w:cs="Times New Roman"/>
                <w:i w:val="0"/>
                <w:iCs w:val="0"/>
                <w:color w:val="000000"/>
                <w:sz w:val="24"/>
                <w:szCs w:val="24"/>
                <w:highlight w:val="none"/>
                <w:u w:val="none"/>
                <w:lang w:val="en-US" w:eastAsia="zh-CN"/>
              </w:rPr>
              <w:t>39</w:t>
            </w:r>
            <w:r>
              <w:rPr>
                <w:rFonts w:hint="default" w:ascii="Times New Roman" w:hAnsi="Times New Roman" w:eastAsia="仿宋_GB2312" w:cs="Times New Roman"/>
                <w:i w:val="0"/>
                <w:iCs w:val="0"/>
                <w:color w:val="000000"/>
                <w:sz w:val="24"/>
                <w:szCs w:val="24"/>
                <w:highlight w:val="none"/>
                <w:u w:val="none"/>
                <w:lang w:val="en-US" w:eastAsia="zh-CN"/>
              </w:rPr>
              <w:t>场，任务完成率</w:t>
            </w:r>
            <w:r>
              <w:rPr>
                <w:rFonts w:hint="eastAsia" w:ascii="Times New Roman" w:hAnsi="Times New Roman" w:eastAsia="仿宋_GB2312" w:cs="Times New Roman"/>
                <w:i w:val="0"/>
                <w:iCs w:val="0"/>
                <w:color w:val="000000"/>
                <w:sz w:val="24"/>
                <w:szCs w:val="24"/>
                <w:highlight w:val="none"/>
                <w:u w:val="none"/>
                <w:lang w:val="en-US" w:eastAsia="zh-CN"/>
              </w:rPr>
              <w:t>101</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2D45B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199" w:type="pct"/>
            <w:tcBorders>
              <w:tl2br w:val="nil"/>
              <w:tr2bl w:val="nil"/>
            </w:tcBorders>
            <w:noWrap w:val="0"/>
            <w:vAlign w:val="center"/>
          </w:tcPr>
          <w:p w14:paraId="6FCF6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24</w:t>
            </w:r>
          </w:p>
        </w:tc>
        <w:tc>
          <w:tcPr>
            <w:tcW w:w="260" w:type="pct"/>
            <w:tcBorders>
              <w:tl2br w:val="nil"/>
              <w:tr2bl w:val="nil"/>
            </w:tcBorders>
            <w:noWrap w:val="0"/>
            <w:vAlign w:val="center"/>
          </w:tcPr>
          <w:p w14:paraId="68909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306" w:type="pct"/>
            <w:tcBorders>
              <w:tl2br w:val="nil"/>
              <w:tr2bl w:val="nil"/>
            </w:tcBorders>
            <w:noWrap/>
            <w:vAlign w:val="center"/>
          </w:tcPr>
          <w:p w14:paraId="3F789A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34</w:t>
            </w:r>
            <w:r>
              <w:rPr>
                <w:rFonts w:hint="default" w:ascii="Times New Roman" w:hAnsi="Times New Roman" w:eastAsia="仿宋_GB2312" w:cs="Times New Roman"/>
                <w:b w:val="0"/>
                <w:bCs/>
                <w:color w:val="000000"/>
                <w:sz w:val="24"/>
                <w:szCs w:val="24"/>
                <w:highlight w:val="none"/>
                <w:u w:val="none"/>
                <w:lang w:eastAsia="zh-CN"/>
              </w:rPr>
              <w:t>）稳步推进城镇老旧小区改造，完成城镇老旧小区改造</w:t>
            </w:r>
            <w:r>
              <w:rPr>
                <w:rFonts w:hint="default" w:ascii="Times New Roman" w:hAnsi="Times New Roman" w:eastAsia="仿宋_GB2312" w:cs="Times New Roman"/>
                <w:b w:val="0"/>
                <w:bCs/>
                <w:strike w:val="0"/>
                <w:dstrike w:val="0"/>
                <w:color w:val="000000"/>
                <w:sz w:val="24"/>
                <w:szCs w:val="24"/>
                <w:highlight w:val="none"/>
                <w:u w:val="none"/>
                <w:lang w:val="en-US" w:eastAsia="zh-CN"/>
              </w:rPr>
              <w:t>172</w:t>
            </w:r>
            <w:r>
              <w:rPr>
                <w:rFonts w:hint="default" w:ascii="Times New Roman" w:hAnsi="Times New Roman" w:eastAsia="仿宋_GB2312" w:cs="Times New Roman"/>
                <w:b w:val="0"/>
                <w:bCs/>
                <w:color w:val="000000"/>
                <w:sz w:val="24"/>
                <w:szCs w:val="24"/>
                <w:highlight w:val="none"/>
                <w:u w:val="none"/>
                <w:lang w:eastAsia="zh-CN"/>
              </w:rPr>
              <w:t>个。</w:t>
            </w:r>
          </w:p>
        </w:tc>
        <w:tc>
          <w:tcPr>
            <w:tcW w:w="3233" w:type="pct"/>
            <w:tcBorders>
              <w:tl2br w:val="nil"/>
              <w:tr2bl w:val="nil"/>
            </w:tcBorders>
            <w:noWrap w:val="0"/>
            <w:vAlign w:val="center"/>
          </w:tcPr>
          <w:p w14:paraId="36ECCF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全市172个城镇老旧小区改造，已开工111个，未开工61个。已开工项目：田家庵区47小区、大通区49个小区、寿县1个小区、谢家集区14个小区。未开工项目：凤台县3个小区、八公山区46个小区、寿县12个小区。</w:t>
            </w:r>
          </w:p>
        </w:tc>
      </w:tr>
      <w:tr w14:paraId="3627B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9" w:type="pct"/>
            <w:vMerge w:val="restart"/>
            <w:tcBorders>
              <w:tl2br w:val="nil"/>
              <w:tr2bl w:val="nil"/>
            </w:tcBorders>
            <w:noWrap w:val="0"/>
            <w:vAlign w:val="center"/>
          </w:tcPr>
          <w:p w14:paraId="378DC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25</w:t>
            </w:r>
          </w:p>
        </w:tc>
        <w:tc>
          <w:tcPr>
            <w:tcW w:w="260" w:type="pct"/>
            <w:vMerge w:val="restart"/>
            <w:tcBorders>
              <w:tl2br w:val="nil"/>
              <w:tr2bl w:val="nil"/>
            </w:tcBorders>
            <w:noWrap w:val="0"/>
            <w:vAlign w:val="center"/>
          </w:tcPr>
          <w:p w14:paraId="766A1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306" w:type="pct"/>
            <w:tcBorders>
              <w:tl2br w:val="nil"/>
              <w:tr2bl w:val="nil"/>
            </w:tcBorders>
            <w:noWrap/>
            <w:vAlign w:val="center"/>
          </w:tcPr>
          <w:p w14:paraId="063C5E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35</w:t>
            </w:r>
            <w:r>
              <w:rPr>
                <w:rFonts w:hint="default" w:ascii="Times New Roman" w:hAnsi="Times New Roman" w:eastAsia="仿宋_GB2312" w:cs="Times New Roman"/>
                <w:b w:val="0"/>
                <w:bCs/>
                <w:color w:val="000000"/>
                <w:sz w:val="24"/>
                <w:szCs w:val="24"/>
                <w:highlight w:val="none"/>
                <w:u w:val="none"/>
                <w:lang w:eastAsia="zh-CN"/>
              </w:rPr>
              <w:t>）加强老旧住宅小区物业管理，推进老旧住宅小区实现物业管理常态长效。</w:t>
            </w:r>
          </w:p>
        </w:tc>
        <w:tc>
          <w:tcPr>
            <w:tcW w:w="3233" w:type="pct"/>
            <w:tcBorders>
              <w:tl2br w:val="nil"/>
              <w:tr2bl w:val="nil"/>
            </w:tcBorders>
            <w:noWrap w:val="0"/>
            <w:vAlign w:val="center"/>
          </w:tcPr>
          <w:p w14:paraId="65BB2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联合属地政府、供电部门开展处理住宅小区电动汽车充电桩报装工作。摸排各住宅小区住户充电需求及存在问题，建立台账，每日及时处理充电桩报装难得投诉。累计解决89件新能源充电桩诉求。</w:t>
            </w:r>
          </w:p>
        </w:tc>
      </w:tr>
      <w:tr w14:paraId="00B6F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199" w:type="pct"/>
            <w:vMerge w:val="continue"/>
            <w:tcBorders>
              <w:tl2br w:val="nil"/>
              <w:tr2bl w:val="nil"/>
            </w:tcBorders>
            <w:noWrap w:val="0"/>
            <w:vAlign w:val="center"/>
          </w:tcPr>
          <w:p w14:paraId="102C0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60" w:type="pct"/>
            <w:vMerge w:val="continue"/>
            <w:tcBorders>
              <w:tl2br w:val="nil"/>
              <w:tr2bl w:val="nil"/>
            </w:tcBorders>
            <w:noWrap w:val="0"/>
            <w:vAlign w:val="center"/>
          </w:tcPr>
          <w:p w14:paraId="3D1E8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306" w:type="pct"/>
            <w:tcBorders>
              <w:tl2br w:val="nil"/>
              <w:tr2bl w:val="nil"/>
            </w:tcBorders>
            <w:noWrap/>
            <w:vAlign w:val="center"/>
          </w:tcPr>
          <w:p w14:paraId="524523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36</w:t>
            </w:r>
            <w:r>
              <w:rPr>
                <w:rFonts w:hint="default" w:ascii="Times New Roman" w:hAnsi="Times New Roman" w:eastAsia="仿宋_GB2312" w:cs="Times New Roman"/>
                <w:b w:val="0"/>
                <w:bCs/>
                <w:color w:val="000000"/>
                <w:sz w:val="24"/>
                <w:szCs w:val="24"/>
                <w:highlight w:val="none"/>
                <w:u w:val="none"/>
                <w:lang w:eastAsia="zh-CN"/>
              </w:rPr>
              <w:t>）推动住宅小区新增电动自行车充电端口</w:t>
            </w:r>
            <w:r>
              <w:rPr>
                <w:rFonts w:hint="default" w:ascii="Times New Roman" w:hAnsi="Times New Roman" w:eastAsia="仿宋_GB2312" w:cs="Times New Roman"/>
                <w:b w:val="0"/>
                <w:bCs/>
                <w:strike w:val="0"/>
                <w:dstrike w:val="0"/>
                <w:color w:val="000000"/>
                <w:sz w:val="24"/>
                <w:szCs w:val="24"/>
                <w:highlight w:val="none"/>
                <w:u w:val="none"/>
                <w:lang w:val="en-US" w:eastAsia="zh-CN"/>
              </w:rPr>
              <w:t>1.2</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p>
        </w:tc>
        <w:tc>
          <w:tcPr>
            <w:tcW w:w="3233" w:type="pct"/>
            <w:tcBorders>
              <w:tl2br w:val="nil"/>
              <w:tr2bl w:val="nil"/>
            </w:tcBorders>
            <w:noWrap w:val="0"/>
            <w:vAlign w:val="center"/>
          </w:tcPr>
          <w:p w14:paraId="74E2B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截至9月底，</w:t>
            </w:r>
            <w:r>
              <w:rPr>
                <w:rFonts w:hint="default" w:ascii="Times New Roman" w:hAnsi="Times New Roman" w:eastAsia="仿宋_GB2312" w:cs="Times New Roman"/>
                <w:i w:val="0"/>
                <w:iCs w:val="0"/>
                <w:color w:val="000000"/>
                <w:sz w:val="24"/>
                <w:szCs w:val="24"/>
                <w:highlight w:val="none"/>
                <w:u w:val="none"/>
                <w:lang w:val="en-US" w:eastAsia="zh-CN"/>
              </w:rPr>
              <w:t>新增1.22万个充电端口，任务完成率102.2%。</w:t>
            </w:r>
          </w:p>
        </w:tc>
      </w:tr>
      <w:tr w14:paraId="7CE7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99" w:type="pct"/>
            <w:vMerge w:val="continue"/>
            <w:tcBorders>
              <w:tl2br w:val="nil"/>
              <w:tr2bl w:val="nil"/>
            </w:tcBorders>
            <w:noWrap w:val="0"/>
            <w:vAlign w:val="center"/>
          </w:tcPr>
          <w:p w14:paraId="41F59F1E">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224344FA">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0"/>
            <w:vAlign w:val="center"/>
          </w:tcPr>
          <w:p w14:paraId="798E76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37</w:t>
            </w:r>
            <w:r>
              <w:rPr>
                <w:rFonts w:hint="default" w:ascii="Times New Roman" w:hAnsi="Times New Roman" w:eastAsia="仿宋_GB2312" w:cs="Times New Roman"/>
                <w:b w:val="0"/>
                <w:bCs/>
                <w:color w:val="000000"/>
                <w:sz w:val="24"/>
                <w:szCs w:val="24"/>
                <w:highlight w:val="none"/>
                <w:u w:val="none"/>
                <w:lang w:eastAsia="zh-CN"/>
              </w:rPr>
              <w:t>）实施住宅小区屋面渗漏和外墙脱落维修</w:t>
            </w:r>
            <w:r>
              <w:rPr>
                <w:rFonts w:hint="default" w:ascii="Times New Roman" w:hAnsi="Times New Roman" w:eastAsia="仿宋_GB2312" w:cs="Times New Roman"/>
                <w:b w:val="0"/>
                <w:bCs/>
                <w:strike w:val="0"/>
                <w:dstrike w:val="0"/>
                <w:color w:val="000000"/>
                <w:sz w:val="24"/>
                <w:szCs w:val="24"/>
                <w:highlight w:val="none"/>
                <w:u w:val="none"/>
                <w:lang w:val="en-US" w:eastAsia="zh-CN"/>
              </w:rPr>
              <w:t>8</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平方米。</w:t>
            </w:r>
          </w:p>
        </w:tc>
        <w:tc>
          <w:tcPr>
            <w:tcW w:w="3233" w:type="pct"/>
            <w:tcBorders>
              <w:tl2br w:val="nil"/>
              <w:tr2bl w:val="nil"/>
            </w:tcBorders>
            <w:noWrap w:val="0"/>
            <w:vAlign w:val="center"/>
          </w:tcPr>
          <w:p w14:paraId="0C7EA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月底，已实施维修</w:t>
            </w:r>
            <w:r>
              <w:rPr>
                <w:rFonts w:hint="eastAsia" w:ascii="Times New Roman" w:hAnsi="Times New Roman" w:eastAsia="仿宋_GB2312" w:cs="Times New Roman"/>
                <w:i w:val="0"/>
                <w:iCs w:val="0"/>
                <w:color w:val="000000"/>
                <w:sz w:val="24"/>
                <w:szCs w:val="24"/>
                <w:highlight w:val="none"/>
                <w:u w:val="none"/>
                <w:lang w:val="en-US" w:eastAsia="zh-CN"/>
              </w:rPr>
              <w:t>9.4</w:t>
            </w:r>
            <w:r>
              <w:rPr>
                <w:rFonts w:hint="default" w:ascii="Times New Roman" w:hAnsi="Times New Roman" w:eastAsia="仿宋_GB2312" w:cs="Times New Roman"/>
                <w:i w:val="0"/>
                <w:iCs w:val="0"/>
                <w:color w:val="000000"/>
                <w:sz w:val="24"/>
                <w:szCs w:val="24"/>
                <w:highlight w:val="none"/>
                <w:u w:val="none"/>
                <w:lang w:val="en-US" w:eastAsia="zh-CN"/>
              </w:rPr>
              <w:t>万平方米，任务完成率</w:t>
            </w:r>
            <w:r>
              <w:rPr>
                <w:rFonts w:hint="eastAsia" w:ascii="Times New Roman" w:hAnsi="Times New Roman" w:eastAsia="仿宋_GB2312" w:cs="Times New Roman"/>
                <w:i w:val="0"/>
                <w:iCs w:val="0"/>
                <w:color w:val="000000"/>
                <w:sz w:val="24"/>
                <w:szCs w:val="24"/>
                <w:highlight w:val="none"/>
                <w:u w:val="none"/>
                <w:lang w:val="en-US" w:eastAsia="zh-CN"/>
              </w:rPr>
              <w:t>117.5</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41106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199" w:type="pct"/>
            <w:vMerge w:val="continue"/>
            <w:tcBorders>
              <w:tl2br w:val="nil"/>
              <w:tr2bl w:val="nil"/>
            </w:tcBorders>
            <w:noWrap w:val="0"/>
            <w:vAlign w:val="center"/>
          </w:tcPr>
          <w:p w14:paraId="3311F228">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60" w:type="pct"/>
            <w:vMerge w:val="continue"/>
            <w:tcBorders>
              <w:tl2br w:val="nil"/>
              <w:tr2bl w:val="nil"/>
            </w:tcBorders>
            <w:noWrap w:val="0"/>
            <w:vAlign w:val="center"/>
          </w:tcPr>
          <w:p w14:paraId="7D4C49D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306" w:type="pct"/>
            <w:tcBorders>
              <w:tl2br w:val="nil"/>
              <w:tr2bl w:val="nil"/>
            </w:tcBorders>
            <w:noWrap w:val="0"/>
            <w:vAlign w:val="center"/>
          </w:tcPr>
          <w:p w14:paraId="040B44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38</w:t>
            </w:r>
            <w:r>
              <w:rPr>
                <w:rFonts w:hint="default" w:ascii="Times New Roman" w:hAnsi="Times New Roman" w:eastAsia="仿宋_GB2312" w:cs="Times New Roman"/>
                <w:b w:val="0"/>
                <w:bCs/>
                <w:color w:val="000000"/>
                <w:sz w:val="24"/>
                <w:szCs w:val="24"/>
                <w:highlight w:val="none"/>
                <w:u w:val="none"/>
                <w:lang w:eastAsia="zh-CN"/>
              </w:rPr>
              <w:t>）支持住宅老旧电梯更新</w:t>
            </w:r>
            <w:r>
              <w:rPr>
                <w:rFonts w:hint="default" w:ascii="Times New Roman" w:hAnsi="Times New Roman" w:eastAsia="仿宋_GB2312" w:cs="Times New Roman"/>
                <w:b w:val="0"/>
                <w:bCs/>
                <w:strike w:val="0"/>
                <w:dstrike w:val="0"/>
                <w:color w:val="000000"/>
                <w:sz w:val="24"/>
                <w:szCs w:val="24"/>
                <w:highlight w:val="none"/>
                <w:u w:val="none"/>
                <w:lang w:val="en-US" w:eastAsia="zh-CN"/>
              </w:rPr>
              <w:t>286</w:t>
            </w:r>
            <w:r>
              <w:rPr>
                <w:rFonts w:hint="default" w:ascii="Times New Roman" w:hAnsi="Times New Roman" w:eastAsia="仿宋_GB2312" w:cs="Times New Roman"/>
                <w:b w:val="0"/>
                <w:bCs/>
                <w:color w:val="000000"/>
                <w:sz w:val="24"/>
                <w:szCs w:val="24"/>
                <w:highlight w:val="none"/>
                <w:u w:val="none"/>
                <w:lang w:eastAsia="zh-CN"/>
              </w:rPr>
              <w:t>台。</w:t>
            </w:r>
          </w:p>
        </w:tc>
        <w:tc>
          <w:tcPr>
            <w:tcW w:w="3233" w:type="pct"/>
            <w:tcBorders>
              <w:tl2br w:val="nil"/>
              <w:tr2bl w:val="nil"/>
            </w:tcBorders>
            <w:noWrap w:val="0"/>
            <w:vAlign w:val="center"/>
          </w:tcPr>
          <w:p w14:paraId="484E5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月底，2</w:t>
            </w:r>
            <w:r>
              <w:rPr>
                <w:rFonts w:hint="eastAsia" w:ascii="Times New Roman" w:hAnsi="Times New Roman" w:eastAsia="仿宋_GB2312" w:cs="Times New Roman"/>
                <w:i w:val="0"/>
                <w:iCs w:val="0"/>
                <w:color w:val="000000"/>
                <w:sz w:val="24"/>
                <w:szCs w:val="24"/>
                <w:highlight w:val="none"/>
                <w:u w:val="none"/>
                <w:lang w:val="en-US" w:eastAsia="zh-CN"/>
              </w:rPr>
              <w:t>86</w:t>
            </w:r>
            <w:r>
              <w:rPr>
                <w:rFonts w:hint="default" w:ascii="Times New Roman" w:hAnsi="Times New Roman" w:eastAsia="仿宋_GB2312" w:cs="Times New Roman"/>
                <w:i w:val="0"/>
                <w:iCs w:val="0"/>
                <w:color w:val="000000"/>
                <w:sz w:val="24"/>
                <w:szCs w:val="24"/>
                <w:highlight w:val="none"/>
                <w:u w:val="none"/>
                <w:lang w:val="en-US" w:eastAsia="zh-CN"/>
              </w:rPr>
              <w:t>台电梯完成施工</w:t>
            </w:r>
            <w:r>
              <w:rPr>
                <w:rFonts w:hint="eastAsia"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2155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199" w:type="pct"/>
            <w:vMerge w:val="restart"/>
            <w:tcBorders>
              <w:tl2br w:val="nil"/>
              <w:tr2bl w:val="nil"/>
            </w:tcBorders>
            <w:noWrap w:val="0"/>
            <w:vAlign w:val="center"/>
          </w:tcPr>
          <w:p w14:paraId="45291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26</w:t>
            </w:r>
          </w:p>
        </w:tc>
        <w:tc>
          <w:tcPr>
            <w:tcW w:w="260" w:type="pct"/>
            <w:vMerge w:val="restart"/>
            <w:tcBorders>
              <w:tl2br w:val="nil"/>
              <w:tr2bl w:val="nil"/>
            </w:tcBorders>
            <w:noWrap w:val="0"/>
            <w:vAlign w:val="center"/>
          </w:tcPr>
          <w:p w14:paraId="1C320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市水利局</w:t>
            </w:r>
          </w:p>
        </w:tc>
        <w:tc>
          <w:tcPr>
            <w:tcW w:w="1306" w:type="pct"/>
            <w:tcBorders>
              <w:tl2br w:val="nil"/>
              <w:tr2bl w:val="nil"/>
            </w:tcBorders>
            <w:noWrap/>
            <w:vAlign w:val="center"/>
          </w:tcPr>
          <w:p w14:paraId="23647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39</w:t>
            </w:r>
            <w:r>
              <w:rPr>
                <w:rFonts w:hint="default" w:ascii="Times New Roman" w:hAnsi="Times New Roman" w:eastAsia="仿宋_GB2312" w:cs="Times New Roman"/>
                <w:b w:val="0"/>
                <w:bCs/>
                <w:color w:val="000000"/>
                <w:sz w:val="24"/>
                <w:szCs w:val="24"/>
                <w:highlight w:val="none"/>
                <w:u w:val="none"/>
                <w:lang w:eastAsia="zh-CN"/>
              </w:rPr>
              <w:t>）实施皖北地区群众喝上引调水工程和淮河以南地区农村供水保障提升工程。</w:t>
            </w:r>
          </w:p>
        </w:tc>
        <w:tc>
          <w:tcPr>
            <w:tcW w:w="3233" w:type="pct"/>
            <w:tcBorders>
              <w:tl2br w:val="nil"/>
              <w:tr2bl w:val="nil"/>
            </w:tcBorders>
            <w:noWrap w:val="0"/>
            <w:vAlign w:val="center"/>
          </w:tcPr>
          <w:p w14:paraId="1CE6EC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1、皖北地区群众喝上引调水工程共5处，已全面开工建设，已完成投资3660万元。</w:t>
            </w:r>
          </w:p>
          <w:p w14:paraId="2CD2E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2、淮河以南地区农村供水保障提升工程共5处，已全面开工建设，已完成投资36336万元。</w:t>
            </w:r>
          </w:p>
        </w:tc>
      </w:tr>
      <w:tr w14:paraId="2765B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99" w:type="pct"/>
            <w:vMerge w:val="continue"/>
            <w:tcBorders>
              <w:tl2br w:val="nil"/>
              <w:tr2bl w:val="nil"/>
            </w:tcBorders>
            <w:noWrap w:val="0"/>
            <w:vAlign w:val="center"/>
          </w:tcPr>
          <w:p w14:paraId="016BA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60" w:type="pct"/>
            <w:vMerge w:val="continue"/>
            <w:tcBorders>
              <w:tl2br w:val="nil"/>
              <w:tr2bl w:val="nil"/>
            </w:tcBorders>
            <w:noWrap w:val="0"/>
            <w:vAlign w:val="center"/>
          </w:tcPr>
          <w:p w14:paraId="4AE20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306" w:type="pct"/>
            <w:tcBorders>
              <w:tl2br w:val="nil"/>
              <w:tr2bl w:val="nil"/>
            </w:tcBorders>
            <w:noWrap/>
            <w:vAlign w:val="center"/>
          </w:tcPr>
          <w:p w14:paraId="687B3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40</w:t>
            </w:r>
            <w:r>
              <w:rPr>
                <w:rFonts w:hint="default" w:ascii="Times New Roman" w:hAnsi="Times New Roman" w:eastAsia="仿宋_GB2312" w:cs="Times New Roman"/>
                <w:b w:val="0"/>
                <w:bCs/>
                <w:color w:val="000000"/>
                <w:sz w:val="24"/>
                <w:szCs w:val="24"/>
                <w:highlight w:val="none"/>
                <w:u w:val="none"/>
                <w:lang w:eastAsia="zh-CN"/>
              </w:rPr>
              <w:t>）新增解决不能24小时供水村庄</w:t>
            </w:r>
            <w:r>
              <w:rPr>
                <w:rFonts w:hint="default" w:ascii="Times New Roman" w:hAnsi="Times New Roman" w:eastAsia="仿宋_GB2312" w:cs="Times New Roman"/>
                <w:b w:val="0"/>
                <w:bCs/>
                <w:strike w:val="0"/>
                <w:dstrike w:val="0"/>
                <w:color w:val="000000"/>
                <w:sz w:val="24"/>
                <w:szCs w:val="24"/>
                <w:highlight w:val="none"/>
                <w:u w:val="none"/>
                <w:lang w:val="en-US" w:eastAsia="zh-CN"/>
              </w:rPr>
              <w:t>87</w:t>
            </w:r>
            <w:r>
              <w:rPr>
                <w:rFonts w:hint="default" w:ascii="Times New Roman" w:hAnsi="Times New Roman" w:eastAsia="仿宋_GB2312" w:cs="Times New Roman"/>
                <w:b w:val="0"/>
                <w:bCs/>
                <w:color w:val="000000"/>
                <w:sz w:val="24"/>
                <w:szCs w:val="24"/>
                <w:highlight w:val="none"/>
                <w:u w:val="none"/>
                <w:lang w:eastAsia="zh-CN"/>
              </w:rPr>
              <w:t>个。</w:t>
            </w:r>
          </w:p>
        </w:tc>
        <w:tc>
          <w:tcPr>
            <w:tcW w:w="3233" w:type="pct"/>
            <w:tcBorders>
              <w:tl2br w:val="nil"/>
              <w:tr2bl w:val="nil"/>
            </w:tcBorders>
            <w:noWrap w:val="0"/>
            <w:vAlign w:val="center"/>
          </w:tcPr>
          <w:p w14:paraId="1A79A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截至9月底，凤台县涉及15个村，正在建设</w:t>
            </w:r>
            <w:r>
              <w:rPr>
                <w:rFonts w:hint="default" w:ascii="Times New Roman" w:hAnsi="Times New Roman" w:eastAsia="仿宋_GB2312" w:cs="Times New Roman"/>
                <w:i w:val="0"/>
                <w:iCs w:val="0"/>
                <w:color w:val="000000"/>
                <w:sz w:val="24"/>
                <w:szCs w:val="24"/>
                <w:highlight w:val="none"/>
                <w:u w:val="none"/>
                <w:lang w:eastAsia="zh-CN"/>
              </w:rPr>
              <w:t>；</w:t>
            </w:r>
            <w:r>
              <w:rPr>
                <w:rFonts w:hint="default" w:ascii="Times New Roman" w:hAnsi="Times New Roman" w:eastAsia="仿宋_GB2312" w:cs="Times New Roman"/>
                <w:i w:val="0"/>
                <w:iCs w:val="0"/>
                <w:color w:val="000000"/>
                <w:sz w:val="24"/>
                <w:szCs w:val="24"/>
                <w:highlight w:val="none"/>
                <w:u w:val="none"/>
              </w:rPr>
              <w:t>寿县</w:t>
            </w:r>
            <w:r>
              <w:rPr>
                <w:rFonts w:hint="default" w:ascii="Times New Roman" w:hAnsi="Times New Roman" w:eastAsia="仿宋_GB2312" w:cs="Times New Roman"/>
                <w:i w:val="0"/>
                <w:iCs w:val="0"/>
                <w:color w:val="000000"/>
                <w:sz w:val="24"/>
                <w:szCs w:val="24"/>
                <w:highlight w:val="none"/>
                <w:u w:val="none"/>
                <w:lang w:val="en-US" w:eastAsia="zh-CN"/>
              </w:rPr>
              <w:t>涉及72个村，已完成24个村，</w:t>
            </w:r>
            <w:r>
              <w:rPr>
                <w:rFonts w:hint="default" w:ascii="Times New Roman" w:hAnsi="Times New Roman" w:eastAsia="仿宋_GB2312" w:cs="Times New Roman"/>
                <w:i w:val="0"/>
                <w:iCs w:val="0"/>
                <w:color w:val="000000"/>
                <w:sz w:val="24"/>
                <w:szCs w:val="24"/>
                <w:highlight w:val="none"/>
                <w:u w:val="none"/>
              </w:rPr>
              <w:t>正在</w:t>
            </w:r>
            <w:r>
              <w:rPr>
                <w:rFonts w:hint="default" w:ascii="Times New Roman" w:hAnsi="Times New Roman" w:eastAsia="仿宋_GB2312" w:cs="Times New Roman"/>
                <w:i w:val="0"/>
                <w:iCs w:val="0"/>
                <w:color w:val="000000"/>
                <w:sz w:val="24"/>
                <w:szCs w:val="24"/>
                <w:highlight w:val="none"/>
                <w:u w:val="none"/>
                <w:lang w:val="en-US" w:eastAsia="zh-CN"/>
              </w:rPr>
              <w:t>实施48个村</w:t>
            </w:r>
            <w:r>
              <w:rPr>
                <w:rFonts w:hint="default" w:ascii="Times New Roman" w:hAnsi="Times New Roman" w:eastAsia="仿宋_GB2312" w:cs="Times New Roman"/>
                <w:i w:val="0"/>
                <w:iCs w:val="0"/>
                <w:color w:val="000000"/>
                <w:sz w:val="24"/>
                <w:szCs w:val="24"/>
                <w:highlight w:val="none"/>
                <w:u w:val="none"/>
              </w:rPr>
              <w:t>。</w:t>
            </w:r>
          </w:p>
        </w:tc>
      </w:tr>
      <w:tr w14:paraId="3D8A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199" w:type="pct"/>
            <w:tcBorders>
              <w:tl2br w:val="nil"/>
              <w:tr2bl w:val="nil"/>
            </w:tcBorders>
            <w:noWrap w:val="0"/>
            <w:vAlign w:val="center"/>
          </w:tcPr>
          <w:p w14:paraId="09103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27</w:t>
            </w:r>
          </w:p>
        </w:tc>
        <w:tc>
          <w:tcPr>
            <w:tcW w:w="260" w:type="pct"/>
            <w:tcBorders>
              <w:tl2br w:val="nil"/>
              <w:tr2bl w:val="nil"/>
            </w:tcBorders>
            <w:noWrap w:val="0"/>
            <w:vAlign w:val="center"/>
          </w:tcPr>
          <w:p w14:paraId="5D909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tc>
        <w:tc>
          <w:tcPr>
            <w:tcW w:w="1306" w:type="pct"/>
            <w:tcBorders>
              <w:tl2br w:val="nil"/>
              <w:tr2bl w:val="nil"/>
            </w:tcBorders>
            <w:noWrap/>
            <w:vAlign w:val="center"/>
          </w:tcPr>
          <w:p w14:paraId="089CA7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41</w:t>
            </w:r>
            <w:r>
              <w:rPr>
                <w:rFonts w:hint="default" w:ascii="Times New Roman" w:hAnsi="Times New Roman" w:eastAsia="仿宋_GB2312" w:cs="Times New Roman"/>
                <w:b w:val="0"/>
                <w:bCs/>
                <w:color w:val="000000"/>
                <w:sz w:val="24"/>
                <w:szCs w:val="24"/>
                <w:highlight w:val="none"/>
                <w:u w:val="none"/>
                <w:lang w:eastAsia="zh-CN"/>
              </w:rPr>
              <w:t>）推动全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工会驿站增能提质，建设</w:t>
            </w:r>
            <w:r>
              <w:rPr>
                <w:rFonts w:hint="default" w:ascii="Times New Roman" w:hAnsi="Times New Roman" w:eastAsia="仿宋_GB2312" w:cs="Times New Roman"/>
                <w:b w:val="0"/>
                <w:bCs/>
                <w:strike w:val="0"/>
                <w:dstrike w:val="0"/>
                <w:color w:val="000000"/>
                <w:sz w:val="24"/>
                <w:szCs w:val="24"/>
                <w:highlight w:val="none"/>
                <w:u w:val="none"/>
                <w:lang w:val="en-US" w:eastAsia="zh-CN"/>
              </w:rPr>
              <w:t>15</w:t>
            </w:r>
            <w:r>
              <w:rPr>
                <w:rFonts w:hint="default" w:ascii="Times New Roman" w:hAnsi="Times New Roman" w:eastAsia="仿宋_GB2312" w:cs="Times New Roman"/>
                <w:b w:val="0"/>
                <w:bCs/>
                <w:color w:val="000000"/>
                <w:sz w:val="24"/>
                <w:szCs w:val="24"/>
                <w:highlight w:val="none"/>
                <w:u w:val="none"/>
                <w:lang w:eastAsia="zh-CN"/>
              </w:rPr>
              <w:t>个全国和安徽省最美工会驿站。</w:t>
            </w:r>
          </w:p>
        </w:tc>
        <w:tc>
          <w:tcPr>
            <w:tcW w:w="3233" w:type="pct"/>
            <w:tcBorders>
              <w:tl2br w:val="nil"/>
              <w:tr2bl w:val="nil"/>
            </w:tcBorders>
            <w:noWrap w:val="0"/>
            <w:vAlign w:val="center"/>
          </w:tcPr>
          <w:p w14:paraId="65459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9</w:t>
            </w:r>
            <w:r>
              <w:rPr>
                <w:rFonts w:hint="default" w:ascii="Times New Roman" w:hAnsi="Times New Roman" w:eastAsia="仿宋_GB2312" w:cs="Times New Roman"/>
                <w:i w:val="0"/>
                <w:iCs w:val="0"/>
                <w:color w:val="000000"/>
                <w:sz w:val="24"/>
                <w:szCs w:val="24"/>
                <w:highlight w:val="none"/>
                <w:u w:val="none"/>
                <w:lang w:val="en-US" w:eastAsia="zh-CN"/>
              </w:rPr>
              <w:t>月底，已培育储备全国和安徽省最美工会驿站</w:t>
            </w:r>
            <w:r>
              <w:rPr>
                <w:rFonts w:hint="eastAsia" w:ascii="Times New Roman" w:hAnsi="Times New Roman" w:eastAsia="仿宋_GB2312" w:cs="Times New Roman"/>
                <w:i w:val="0"/>
                <w:iCs w:val="0"/>
                <w:color w:val="000000"/>
                <w:sz w:val="24"/>
                <w:szCs w:val="24"/>
                <w:highlight w:val="none"/>
                <w:u w:val="none"/>
                <w:lang w:val="en-US" w:eastAsia="zh-CN"/>
              </w:rPr>
              <w:t>13个</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65FE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0" w:hRule="atLeast"/>
          <w:jc w:val="center"/>
        </w:trPr>
        <w:tc>
          <w:tcPr>
            <w:tcW w:w="199" w:type="pct"/>
            <w:tcBorders>
              <w:tl2br w:val="nil"/>
              <w:tr2bl w:val="nil"/>
            </w:tcBorders>
            <w:noWrap w:val="0"/>
            <w:vAlign w:val="center"/>
          </w:tcPr>
          <w:p w14:paraId="1BE21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28</w:t>
            </w:r>
          </w:p>
        </w:tc>
        <w:tc>
          <w:tcPr>
            <w:tcW w:w="260" w:type="pct"/>
            <w:tcBorders>
              <w:tl2br w:val="nil"/>
              <w:tr2bl w:val="nil"/>
            </w:tcBorders>
            <w:noWrap w:val="0"/>
            <w:vAlign w:val="center"/>
          </w:tcPr>
          <w:p w14:paraId="03D29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市发改委</w:t>
            </w:r>
          </w:p>
        </w:tc>
        <w:tc>
          <w:tcPr>
            <w:tcW w:w="1306" w:type="pct"/>
            <w:tcBorders>
              <w:tl2br w:val="nil"/>
              <w:tr2bl w:val="nil"/>
            </w:tcBorders>
            <w:noWrap/>
            <w:vAlign w:val="center"/>
          </w:tcPr>
          <w:p w14:paraId="1F28AF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eastAsia="zh-CN"/>
              </w:rPr>
              <w:t>）实施“惠民菜篮子”行动，推进</w:t>
            </w:r>
            <w:r>
              <w:rPr>
                <w:rFonts w:hint="default" w:ascii="Times New Roman" w:hAnsi="Times New Roman" w:eastAsia="仿宋_GB2312" w:cs="Times New Roman"/>
                <w:b w:val="0"/>
                <w:bCs/>
                <w:strike w:val="0"/>
                <w:dstrike w:val="0"/>
                <w:color w:val="000000"/>
                <w:sz w:val="24"/>
                <w:szCs w:val="24"/>
                <w:highlight w:val="none"/>
                <w:u w:val="none"/>
                <w:lang w:val="en-US" w:eastAsia="zh-CN"/>
              </w:rPr>
              <w:t>18</w:t>
            </w:r>
            <w:r>
              <w:rPr>
                <w:rFonts w:hint="default" w:ascii="Times New Roman" w:hAnsi="Times New Roman" w:eastAsia="仿宋_GB2312" w:cs="Times New Roman"/>
                <w:b w:val="0"/>
                <w:bCs/>
                <w:color w:val="000000"/>
                <w:sz w:val="24"/>
                <w:szCs w:val="24"/>
                <w:highlight w:val="none"/>
                <w:u w:val="none"/>
                <w:lang w:eastAsia="zh-CN"/>
              </w:rPr>
              <w:t>家左右商超及社区连锁店运行“惠民菜篮子”。</w:t>
            </w:r>
          </w:p>
        </w:tc>
        <w:tc>
          <w:tcPr>
            <w:tcW w:w="3233" w:type="pct"/>
            <w:tcBorders>
              <w:tl2br w:val="nil"/>
              <w:tr2bl w:val="nil"/>
            </w:tcBorders>
            <w:noWrap w:val="0"/>
            <w:vAlign w:val="center"/>
          </w:tcPr>
          <w:p w14:paraId="2BEA8E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1、全市范围内正常运行的“惠民菜篮子”门店43家，其中城区28家，寿县、凤台县15家。2025年春节、五一、端午节期间，我市43家“惠民菜篮子”商超统一启动运行39天，累计销售平价菜1078吨、让利于民217.5万元。</w:t>
            </w:r>
          </w:p>
          <w:p w14:paraId="45CE0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2、组织</w:t>
            </w:r>
            <w:r>
              <w:rPr>
                <w:rFonts w:hint="default" w:ascii="Times New Roman" w:hAnsi="Times New Roman" w:eastAsia="仿宋_GB2312" w:cs="Times New Roman"/>
                <w:i w:val="0"/>
                <w:iCs w:val="0"/>
                <w:color w:val="000000"/>
                <w:sz w:val="24"/>
                <w:szCs w:val="24"/>
                <w:highlight w:val="none"/>
                <w:u w:val="none"/>
              </w:rPr>
              <w:t>“惠民菜篮子”</w:t>
            </w:r>
            <w:r>
              <w:rPr>
                <w:rFonts w:hint="default" w:ascii="Times New Roman" w:hAnsi="Times New Roman" w:eastAsia="仿宋_GB2312" w:cs="Times New Roman"/>
                <w:i w:val="0"/>
                <w:iCs w:val="0"/>
                <w:color w:val="000000"/>
                <w:sz w:val="24"/>
                <w:szCs w:val="24"/>
                <w:highlight w:val="none"/>
                <w:u w:val="none"/>
                <w:lang w:val="en-US" w:eastAsia="zh-CN"/>
              </w:rPr>
              <w:t>门店参加市农民丰收节</w:t>
            </w:r>
            <w:r>
              <w:rPr>
                <w:rFonts w:hint="default" w:ascii="Times New Roman" w:hAnsi="Times New Roman" w:eastAsia="仿宋_GB2312" w:cs="Times New Roman"/>
                <w:i w:val="0"/>
                <w:iCs w:val="0"/>
                <w:color w:val="000000"/>
                <w:sz w:val="24"/>
                <w:szCs w:val="24"/>
                <w:highlight w:val="none"/>
                <w:u w:val="none"/>
              </w:rPr>
              <w:t>，</w:t>
            </w:r>
            <w:r>
              <w:rPr>
                <w:rFonts w:hint="default" w:ascii="Times New Roman" w:hAnsi="Times New Roman" w:eastAsia="仿宋_GB2312" w:cs="Times New Roman"/>
                <w:i w:val="0"/>
                <w:iCs w:val="0"/>
                <w:color w:val="000000"/>
                <w:sz w:val="24"/>
                <w:szCs w:val="24"/>
                <w:highlight w:val="none"/>
                <w:u w:val="none"/>
                <w:lang w:val="en-US" w:eastAsia="zh-CN"/>
              </w:rPr>
              <w:t>并于9月29日起启动为期10天“惠民菜篮子”活动。</w:t>
            </w:r>
          </w:p>
        </w:tc>
      </w:tr>
      <w:tr w14:paraId="78FC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99" w:type="pct"/>
            <w:tcBorders>
              <w:tl2br w:val="nil"/>
              <w:tr2bl w:val="nil"/>
            </w:tcBorders>
            <w:noWrap w:val="0"/>
            <w:vAlign w:val="center"/>
          </w:tcPr>
          <w:p w14:paraId="140B3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29</w:t>
            </w:r>
          </w:p>
        </w:tc>
        <w:tc>
          <w:tcPr>
            <w:tcW w:w="260" w:type="pct"/>
            <w:tcBorders>
              <w:tl2br w:val="nil"/>
              <w:tr2bl w:val="nil"/>
            </w:tcBorders>
            <w:noWrap w:val="0"/>
            <w:vAlign w:val="center"/>
          </w:tcPr>
          <w:p w14:paraId="3613F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1306" w:type="pct"/>
            <w:tcBorders>
              <w:tl2br w:val="nil"/>
              <w:tr2bl w:val="nil"/>
            </w:tcBorders>
            <w:noWrap/>
            <w:vAlign w:val="center"/>
          </w:tcPr>
          <w:p w14:paraId="79F423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43</w:t>
            </w:r>
            <w:r>
              <w:rPr>
                <w:rFonts w:hint="default" w:ascii="Times New Roman" w:hAnsi="Times New Roman" w:eastAsia="仿宋_GB2312" w:cs="Times New Roman"/>
                <w:b w:val="0"/>
                <w:bCs/>
                <w:color w:val="000000"/>
                <w:sz w:val="24"/>
                <w:szCs w:val="24"/>
                <w:highlight w:val="none"/>
                <w:u w:val="none"/>
                <w:lang w:eastAsia="zh-CN"/>
              </w:rPr>
              <w:t>）实施“食安名坊”培育行动，培育</w:t>
            </w:r>
            <w:r>
              <w:rPr>
                <w:rFonts w:hint="default" w:ascii="Times New Roman" w:hAnsi="Times New Roman" w:eastAsia="仿宋_GB2312" w:cs="Times New Roman"/>
                <w:b w:val="0"/>
                <w:bCs/>
                <w:strike w:val="0"/>
                <w:dstrike w:val="0"/>
                <w:color w:val="000000"/>
                <w:sz w:val="24"/>
                <w:szCs w:val="24"/>
                <w:highlight w:val="none"/>
                <w:u w:val="none"/>
                <w:lang w:val="en-US" w:eastAsia="zh-CN"/>
              </w:rPr>
              <w:t>6</w:t>
            </w:r>
            <w:r>
              <w:rPr>
                <w:rFonts w:hint="default" w:ascii="Times New Roman" w:hAnsi="Times New Roman" w:eastAsia="仿宋_GB2312" w:cs="Times New Roman"/>
                <w:b w:val="0"/>
                <w:bCs/>
                <w:color w:val="000000"/>
                <w:sz w:val="24"/>
                <w:szCs w:val="24"/>
                <w:highlight w:val="none"/>
                <w:u w:val="none"/>
                <w:lang w:eastAsia="zh-CN"/>
              </w:rPr>
              <w:t>家“食安名坊”，以点带面推动食品小作坊产业高质量发展。</w:t>
            </w:r>
          </w:p>
        </w:tc>
        <w:tc>
          <w:tcPr>
            <w:tcW w:w="3233" w:type="pct"/>
            <w:tcBorders>
              <w:tl2br w:val="nil"/>
              <w:tr2bl w:val="nil"/>
            </w:tcBorders>
            <w:noWrap/>
            <w:vAlign w:val="center"/>
          </w:tcPr>
          <w:p w14:paraId="00CD1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截至9月底，按照“食安名坊”培育行动工作要求，对照《第二批“食安名坊”评分表”》开展现场评分推荐，向省局报送8家小作坊参加省级评审。</w:t>
            </w:r>
          </w:p>
        </w:tc>
      </w:tr>
      <w:tr w14:paraId="10CB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jc w:val="center"/>
        </w:trPr>
        <w:tc>
          <w:tcPr>
            <w:tcW w:w="199" w:type="pct"/>
            <w:vMerge w:val="restart"/>
            <w:tcBorders>
              <w:tl2br w:val="nil"/>
              <w:tr2bl w:val="nil"/>
            </w:tcBorders>
            <w:noWrap w:val="0"/>
            <w:vAlign w:val="center"/>
          </w:tcPr>
          <w:p w14:paraId="7945E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30</w:t>
            </w:r>
          </w:p>
        </w:tc>
        <w:tc>
          <w:tcPr>
            <w:tcW w:w="260" w:type="pct"/>
            <w:vMerge w:val="restart"/>
            <w:tcBorders>
              <w:tl2br w:val="nil"/>
              <w:tr2bl w:val="nil"/>
            </w:tcBorders>
            <w:noWrap w:val="0"/>
            <w:vAlign w:val="center"/>
          </w:tcPr>
          <w:p w14:paraId="0A294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1306" w:type="pct"/>
            <w:tcBorders>
              <w:tl2br w:val="nil"/>
              <w:tr2bl w:val="nil"/>
            </w:tcBorders>
            <w:noWrap/>
            <w:vAlign w:val="center"/>
          </w:tcPr>
          <w:p w14:paraId="78BC63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44</w:t>
            </w:r>
            <w:r>
              <w:rPr>
                <w:rFonts w:hint="default" w:ascii="Times New Roman" w:hAnsi="Times New Roman" w:eastAsia="仿宋_GB2312" w:cs="Times New Roman"/>
                <w:b w:val="0"/>
                <w:bCs/>
                <w:color w:val="000000"/>
                <w:sz w:val="24"/>
                <w:szCs w:val="24"/>
                <w:highlight w:val="none"/>
                <w:u w:val="none"/>
                <w:lang w:eastAsia="zh-CN"/>
              </w:rPr>
              <w:t>）开展食品安全“你点我检”</w:t>
            </w:r>
            <w:r>
              <w:rPr>
                <w:rFonts w:hint="default" w:ascii="Times New Roman" w:hAnsi="Times New Roman" w:eastAsia="仿宋_GB2312" w:cs="Times New Roman"/>
                <w:b w:val="0"/>
                <w:bCs/>
                <w:strike w:val="0"/>
                <w:dstrike w:val="0"/>
                <w:color w:val="000000"/>
                <w:sz w:val="24"/>
                <w:szCs w:val="24"/>
                <w:highlight w:val="none"/>
                <w:u w:val="none"/>
                <w:lang w:val="en-US" w:eastAsia="zh-CN"/>
              </w:rPr>
              <w:t>500</w:t>
            </w:r>
            <w:r>
              <w:rPr>
                <w:rFonts w:hint="default" w:ascii="Times New Roman" w:hAnsi="Times New Roman" w:eastAsia="仿宋_GB2312" w:cs="Times New Roman"/>
                <w:b w:val="0"/>
                <w:bCs/>
                <w:color w:val="000000"/>
                <w:sz w:val="24"/>
                <w:szCs w:val="24"/>
                <w:highlight w:val="none"/>
                <w:u w:val="none"/>
                <w:lang w:eastAsia="zh-CN"/>
              </w:rPr>
              <w:t>批次。</w:t>
            </w:r>
          </w:p>
        </w:tc>
        <w:tc>
          <w:tcPr>
            <w:tcW w:w="3233" w:type="pct"/>
            <w:tcBorders>
              <w:tl2br w:val="nil"/>
              <w:tr2bl w:val="nil"/>
            </w:tcBorders>
            <w:noWrap w:val="0"/>
            <w:vAlign w:val="center"/>
          </w:tcPr>
          <w:p w14:paraId="7DD7A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截至9月底，全市已开展“你点我检”专项监督抽检440批次，任务完成率88%。</w:t>
            </w:r>
          </w:p>
        </w:tc>
      </w:tr>
      <w:tr w14:paraId="61564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199" w:type="pct"/>
            <w:vMerge w:val="continue"/>
            <w:tcBorders>
              <w:tl2br w:val="nil"/>
              <w:tr2bl w:val="nil"/>
            </w:tcBorders>
            <w:noWrap w:val="0"/>
            <w:vAlign w:val="center"/>
          </w:tcPr>
          <w:p w14:paraId="23976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60" w:type="pct"/>
            <w:vMerge w:val="continue"/>
            <w:tcBorders>
              <w:tl2br w:val="nil"/>
              <w:tr2bl w:val="nil"/>
            </w:tcBorders>
            <w:noWrap w:val="0"/>
            <w:vAlign w:val="center"/>
          </w:tcPr>
          <w:p w14:paraId="54995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306" w:type="pct"/>
            <w:tcBorders>
              <w:tl2br w:val="nil"/>
              <w:tr2bl w:val="nil"/>
            </w:tcBorders>
            <w:noWrap/>
            <w:vAlign w:val="center"/>
          </w:tcPr>
          <w:p w14:paraId="4117D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val="en-US" w:eastAsia="zh-CN"/>
              </w:rPr>
              <w:t>（45）开展</w:t>
            </w:r>
            <w:r>
              <w:rPr>
                <w:rFonts w:hint="default" w:ascii="Times New Roman" w:hAnsi="Times New Roman" w:eastAsia="仿宋_GB2312" w:cs="Times New Roman"/>
                <w:b w:val="0"/>
                <w:bCs/>
                <w:color w:val="000000"/>
                <w:sz w:val="24"/>
                <w:szCs w:val="24"/>
                <w:highlight w:val="none"/>
                <w:u w:val="none"/>
                <w:lang w:eastAsia="zh-CN"/>
              </w:rPr>
              <w:t>药械妆抽检</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sz w:val="24"/>
                <w:szCs w:val="24"/>
                <w:highlight w:val="none"/>
                <w:u w:val="none"/>
                <w:lang w:eastAsia="zh-CN"/>
              </w:rPr>
              <w:t>批次。</w:t>
            </w:r>
          </w:p>
        </w:tc>
        <w:tc>
          <w:tcPr>
            <w:tcW w:w="3233" w:type="pct"/>
            <w:tcBorders>
              <w:tl2br w:val="nil"/>
              <w:tr2bl w:val="nil"/>
            </w:tcBorders>
            <w:noWrap w:val="0"/>
            <w:vAlign w:val="center"/>
          </w:tcPr>
          <w:p w14:paraId="25EA4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省局下达抽检任务，且任务需按照全省计划分月度序时推进。截至9月底，全市已开展药械妆监督抽检578批次。</w:t>
            </w:r>
          </w:p>
        </w:tc>
      </w:tr>
    </w:tbl>
    <w:p w14:paraId="1CAC9A13">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F0876"/>
    <w:rsid w:val="36FF0876"/>
    <w:rsid w:val="682C42D1"/>
    <w:rsid w:val="6A13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style31"/>
    <w:qFormat/>
    <w:uiPriority w:val="0"/>
    <w:rPr>
      <w:sz w:val="21"/>
    </w:rPr>
  </w:style>
  <w:style w:type="character" w:customStyle="1" w:styleId="5">
    <w:name w:val="font41"/>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2025-10-14T02:46:00Z</dcterms:created>
  <dc:creator>芒果</dc:creator>
  <cp:lastModifiedBy>芒果</cp:lastModifiedBy>
  <dcterms:modified xsi:type="dcterms:W3CDTF">2025-10-14T02:47:31Z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2A709A650F5C4C22A0CFDB4B74A48785_13</vt:lpwstr>
  </property>
  <property fmtid="{D5CDD505-2E9C-101B-9397-08002B2CF9AE}" pid="4" name="KSOTemplateDocerSaveRecord">
    <vt:lpwstr>eyJoZGlkIjoiMDZhNjRmYzkyYjM1MjY1OWM3N2JmNmUwMDUwOGI5MWIiLCJ1c2VySWQiOiIzMzc4NjA3NDcifQ==</vt:lpwstr>
  </property>
</Properties>
</file>