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淮南市关于健全社会信用体系工作方案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中共中央办公厅、国务院办公厅关于健全社会信用体系的意见》《安徽省健全社会信用体系赋能经济社会高质量发展实施方案》，全面推动社会信用体系与经济社会发展深度融合，为促进高质量发展提供有力支撑，结合我市实际，制定本工作方案</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一、完善全覆盖的信用主体建设体系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1.深化府院联动，推动政务诚信建设。</w:t>
      </w:r>
      <w:r>
        <w:rPr>
          <w:rFonts w:hint="eastAsia" w:ascii="仿宋_GB2312" w:hAnsi="仿宋_GB2312" w:eastAsia="仿宋_GB2312" w:cs="仿宋_GB2312"/>
          <w:sz w:val="32"/>
          <w:szCs w:val="32"/>
          <w:lang w:val="en-US" w:eastAsia="zh-CN"/>
        </w:rPr>
        <w:t>建立政府及派出机构、企事业单位、国有企业等诚信履约机制，将政府采购、项目招标、招商引资、政策兑现等领域的履约情况纳入政府信用记录。</w:t>
      </w:r>
      <w:r>
        <w:rPr>
          <w:rFonts w:hint="eastAsia" w:ascii="楷体_GB2312" w:hAnsi="楷体_GB2312" w:eastAsia="楷体_GB2312" w:cs="楷体_GB2312"/>
          <w:sz w:val="32"/>
          <w:szCs w:val="32"/>
          <w:lang w:val="en-US" w:eastAsia="zh-CN"/>
        </w:rPr>
        <w:t>（牵头单位：市发改委，配合单位：各县区人民政府、园区管委会，以下均需各县区人民政府、园区管委会配合，不再列出）</w:t>
      </w:r>
      <w:r>
        <w:rPr>
          <w:rFonts w:hint="eastAsia" w:ascii="仿宋_GB2312" w:hAnsi="仿宋_GB2312" w:eastAsia="仿宋_GB2312" w:cs="仿宋_GB2312"/>
          <w:sz w:val="32"/>
          <w:szCs w:val="32"/>
          <w:lang w:val="en-US" w:eastAsia="zh-CN"/>
        </w:rPr>
        <w:t>深化府院联动机制，持续推进政务失信案件执行和解，做好信息归集、线索摸排、定期约谈、诉前协调/执行和解全流程闭环管理，确保政务失信动态“清零”。</w:t>
      </w:r>
      <w:r>
        <w:rPr>
          <w:rFonts w:hint="eastAsia" w:ascii="楷体_GB2312" w:hAnsi="楷体_GB2312" w:eastAsia="楷体_GB2312" w:cs="楷体_GB2312"/>
          <w:sz w:val="32"/>
          <w:szCs w:val="32"/>
          <w:lang w:val="en-US" w:eastAsia="zh-CN"/>
        </w:rPr>
        <w:t>（牵头单位：市中院，配合单位：市发改委、市司法局）</w:t>
      </w:r>
      <w:r>
        <w:rPr>
          <w:rFonts w:hint="eastAsia" w:ascii="仿宋_GB2312" w:hAnsi="仿宋_GB2312" w:eastAsia="仿宋_GB2312" w:cs="仿宋_GB2312"/>
          <w:sz w:val="32"/>
          <w:szCs w:val="32"/>
          <w:lang w:val="en-US" w:eastAsia="zh-CN"/>
        </w:rPr>
        <w:t>完善公职人员诚信管理和教育制度，将信用记录作为公务员录用、调任和事业单位招聘的重要参考。</w:t>
      </w:r>
      <w:r>
        <w:rPr>
          <w:rFonts w:hint="eastAsia" w:ascii="楷体_GB2312" w:hAnsi="楷体_GB2312" w:eastAsia="楷体_GB2312" w:cs="楷体_GB2312"/>
          <w:sz w:val="32"/>
          <w:szCs w:val="32"/>
          <w:lang w:val="en-US" w:eastAsia="zh-CN"/>
        </w:rPr>
        <w:t>（牵头单位：市委组织部、市人社局）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2.完善信息归集，加强经营主体评价</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全面归集企业的行政许可、行政处罚、行政奖励、行政强制、行政确认、行政裁决、行政监督检查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、资质</w:t>
      </w:r>
      <w:r>
        <w:rPr>
          <w:rFonts w:hint="eastAsia" w:ascii="仿宋_GB2312" w:hAnsi="仿宋_GB2312" w:eastAsia="仿宋_GB2312" w:cs="仿宋_GB2312"/>
          <w:sz w:val="32"/>
          <w:szCs w:val="32"/>
          <w:lang w:val="en-US" w:eastAsia="zh-CN"/>
        </w:rPr>
        <w:t>等信用信息。</w:t>
      </w:r>
      <w:r>
        <w:rPr>
          <w:rFonts w:hint="eastAsia" w:ascii="楷体_GB2312" w:hAnsi="楷体_GB2312" w:eastAsia="楷体_GB2312" w:cs="楷体_GB2312"/>
          <w:sz w:val="32"/>
          <w:szCs w:val="32"/>
          <w:lang w:val="en-US" w:eastAsia="zh-CN"/>
        </w:rPr>
        <w:t>（牵头单位：市发改委，配合单位：市社会信用体系建设联席会议成员单位）</w:t>
      </w:r>
      <w:r>
        <w:rPr>
          <w:rFonts w:hint="eastAsia" w:ascii="仿宋_GB2312" w:hAnsi="仿宋_GB2312" w:eastAsia="仿宋_GB2312" w:cs="仿宋_GB2312"/>
          <w:sz w:val="32"/>
          <w:szCs w:val="32"/>
          <w:lang w:val="en-US" w:eastAsia="zh-CN"/>
        </w:rPr>
        <w:t>在全国公共信用综合评价的基础上，根据市场监管总局、省市场监管局部署，按照《个体工商户信用评价指标》，开展个体工商户信用评价活动，推动评价信息有序共享和高效利用。</w:t>
      </w:r>
      <w:r>
        <w:rPr>
          <w:rFonts w:hint="eastAsia" w:ascii="楷体_GB2312" w:hAnsi="楷体_GB2312" w:eastAsia="楷体_GB2312" w:cs="楷体_GB2312"/>
          <w:sz w:val="32"/>
          <w:szCs w:val="32"/>
          <w:lang w:val="en-US" w:eastAsia="zh-CN"/>
        </w:rPr>
        <w:t>（牵头单位：市市场监管局，配合单位：市社会信用体系建设联席会议成员单位）</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3.强化规范引导，开展社会组织评价。</w:t>
      </w:r>
      <w:r>
        <w:rPr>
          <w:rFonts w:hint="eastAsia" w:ascii="仿宋_GB2312" w:hAnsi="仿宋_GB2312" w:eastAsia="仿宋_GB2312" w:cs="仿宋_GB2312"/>
          <w:sz w:val="32"/>
          <w:szCs w:val="32"/>
          <w:lang w:val="en-US" w:eastAsia="zh-CN"/>
        </w:rPr>
        <w:t>加强社会组织信用信息管理、共享、公开，强化社会组织信用监管，引导社会组织诚信自律，提升内部治理水平。行业主管部门和业务主管单位要推动行业协会商会加强诚信建设，指导行业协会商会依法依规开展信用评价等活动，发挥其对成员的行为导引、规则约束、权益维护等作用</w:t>
      </w:r>
      <w:r>
        <w:rPr>
          <w:rFonts w:hint="eastAsia" w:ascii="楷体_GB2312" w:hAnsi="楷体_GB2312" w:eastAsia="楷体_GB2312" w:cs="楷体_GB2312"/>
          <w:sz w:val="32"/>
          <w:szCs w:val="32"/>
          <w:lang w:val="en-US" w:eastAsia="zh-CN"/>
        </w:rPr>
        <w:t>（牵头单位：市民政局）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4.夯实数据基础，探索自然人信用评价。</w:t>
      </w:r>
      <w:r>
        <w:rPr>
          <w:rFonts w:hint="eastAsia" w:ascii="仿宋_GB2312" w:hAnsi="仿宋_GB2312" w:eastAsia="仿宋_GB2312" w:cs="仿宋_GB2312"/>
          <w:sz w:val="32"/>
          <w:szCs w:val="32"/>
          <w:lang w:val="en-US" w:eastAsia="zh-CN"/>
        </w:rPr>
        <w:t>依法依规归集完善全市自然人信用信息数据，建立健全自然人信用记录体系，重点推进法律、金融、会计、审计、医疗、教育、家政、工程建设、生态环境、平台经济等领域从业人员信用管理制度建设。</w:t>
      </w:r>
      <w:r>
        <w:rPr>
          <w:rFonts w:hint="eastAsia" w:ascii="楷体_GB2312" w:hAnsi="楷体_GB2312" w:eastAsia="楷体_GB2312" w:cs="楷体_GB2312"/>
          <w:sz w:val="32"/>
          <w:szCs w:val="32"/>
          <w:lang w:val="en-US" w:eastAsia="zh-CN"/>
        </w:rPr>
        <w:t>（牵头单位：市发改委、市公安局、市司法局、人民银行淮南市分行、市财政局、市审计局、市卫健委、市教体局、市商务局、市住建局、市生态环境局、市市场监管局）</w:t>
      </w:r>
      <w:r>
        <w:rPr>
          <w:rFonts w:hint="eastAsia" w:ascii="仿宋_GB2312" w:hAnsi="仿宋_GB2312" w:eastAsia="仿宋_GB2312" w:cs="仿宋_GB2312"/>
          <w:sz w:val="32"/>
          <w:szCs w:val="32"/>
          <w:lang w:val="en-US" w:eastAsia="zh-CN"/>
        </w:rPr>
        <w:t>探索开展自然人信用评价并作为守信激励参考，严禁纳入非信用信息和个人私密信息。</w:t>
      </w:r>
      <w:r>
        <w:rPr>
          <w:rFonts w:hint="eastAsia" w:ascii="楷体_GB2312" w:hAnsi="楷体_GB2312" w:eastAsia="楷体_GB2312" w:cs="楷体_GB2312"/>
          <w:sz w:val="32"/>
          <w:szCs w:val="32"/>
          <w:lang w:val="en-US" w:eastAsia="zh-CN"/>
        </w:rPr>
        <w:t>（牵头单位：市发改委，配合单位：市社会信用体系建设联席会议成员单位）</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5.提升执法效能，筑牢司法信用建设。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加强法院、检察院司法公信建设，提高司法公信力。依法加</w:t>
      </w:r>
      <w:r>
        <w:rPr>
          <w:rFonts w:hint="eastAsia" w:ascii="仿宋_GB2312" w:hAnsi="仿宋_GB2312" w:eastAsia="仿宋_GB2312" w:cs="仿宋_GB2312"/>
          <w:sz w:val="32"/>
          <w:szCs w:val="32"/>
          <w:lang w:val="en-US" w:eastAsia="zh-CN"/>
        </w:rPr>
        <w:t>大司法公开力度，保障人民群众知情权。加强司法执法人员信用建设，建立执法人员信用记录和信用承诺制度。提高虚假诉讼违法失信成本。严格失信被执行人认定程序，优化相关失信惩戒措施。</w:t>
      </w:r>
      <w:r>
        <w:rPr>
          <w:rFonts w:hint="eastAsia" w:ascii="楷体_GB2312" w:hAnsi="楷体_GB2312" w:eastAsia="楷体_GB2312" w:cs="楷体_GB2312"/>
          <w:sz w:val="32"/>
          <w:szCs w:val="32"/>
          <w:lang w:val="en-US" w:eastAsia="zh-CN"/>
        </w:rPr>
        <w:t>（牵头单位：市公安局、市司法局）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二、加大高质量的信用信息归集共享</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6.优化升级平台，打造协同公示平台基础。</w:t>
      </w:r>
      <w:r>
        <w:rPr>
          <w:rFonts w:hint="eastAsia" w:ascii="仿宋_GB2312" w:hAnsi="仿宋_GB2312" w:eastAsia="仿宋_GB2312" w:cs="仿宋_GB2312"/>
          <w:b w:val="0"/>
          <w:bCs w:val="0"/>
          <w:sz w:val="32"/>
          <w:szCs w:val="32"/>
          <w:lang w:val="en-US" w:eastAsia="zh-CN"/>
        </w:rPr>
        <w:t>全面深化公共信用信息共享平台、网站一体化建设，升级信用淮南平台，畅通数据报送渠道，实现信用中国、信用安徽、信用淮南三级信用网站协同公示。推动与各行业信用系统深度对接，实现数据“一网共享”。加强“信用淮南”建设资金经费保障。</w:t>
      </w:r>
      <w:r>
        <w:rPr>
          <w:rFonts w:hint="eastAsia" w:ascii="楷体_GB2312" w:hAnsi="楷体_GB2312" w:eastAsia="楷体_GB2312" w:cs="楷体_GB2312"/>
          <w:sz w:val="32"/>
          <w:szCs w:val="32"/>
          <w:lang w:val="en-US" w:eastAsia="zh-CN"/>
        </w:rPr>
        <w:t>（牵头单位：市发改委，配合单位：市数据局、市财政局）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7.规范信息归集，夯实信息共享基础。</w:t>
      </w:r>
      <w:r>
        <w:rPr>
          <w:rFonts w:hint="eastAsia" w:ascii="仿宋_GB2312" w:hAnsi="仿宋_GB2312" w:eastAsia="仿宋_GB2312" w:cs="仿宋_GB2312"/>
          <w:sz w:val="32"/>
          <w:szCs w:val="32"/>
          <w:lang w:val="en-US" w:eastAsia="zh-CN"/>
        </w:rPr>
        <w:t>依据国家公共信用信息基础目录和失信惩戒措施基础清单，明确各部门信息归集责任，重点推动政务管理、市场监管、司法执法等领域信用信息全量归集。建立跨区域信息共享机制，推动信用信息跨市互通互认，打破地域数据壁垒。</w:t>
      </w:r>
      <w:r>
        <w:rPr>
          <w:rFonts w:hint="eastAsia" w:ascii="楷体_GB2312" w:hAnsi="楷体_GB2312" w:eastAsia="楷体_GB2312" w:cs="楷体_GB2312"/>
          <w:sz w:val="32"/>
          <w:szCs w:val="32"/>
          <w:lang w:val="en-US" w:eastAsia="zh-CN"/>
        </w:rPr>
        <w:t>（牵头单位：市发改委，配合单位：市社会信用体系建设联席会议成员单位）</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8.开展重错码治理，提升登记注册基础。</w:t>
      </w:r>
      <w:r>
        <w:rPr>
          <w:rFonts w:hint="eastAsia" w:ascii="仿宋_GB2312" w:hAnsi="仿宋_GB2312" w:eastAsia="仿宋_GB2312" w:cs="仿宋_GB2312"/>
          <w:sz w:val="32"/>
          <w:szCs w:val="32"/>
          <w:lang w:val="en-US" w:eastAsia="zh-CN"/>
        </w:rPr>
        <w:t>市场监管、民政、机构编制、司法行政等部门按照职责分工，实行“谁登记、谁赋码、谁负责”的管理原则，确保统一社会信用代码“终身唯一、全国通用”。组织开展全市统一社会信用代码重错码专项纠错行动，建立常态化校核纠错机制，每月开展数据比对核验，及时发现并纠正新增重错码问题。</w:t>
      </w:r>
      <w:r>
        <w:rPr>
          <w:rFonts w:hint="eastAsia" w:ascii="楷体_GB2312" w:hAnsi="楷体_GB2312" w:eastAsia="楷体_GB2312" w:cs="楷体_GB2312"/>
          <w:sz w:val="32"/>
          <w:szCs w:val="32"/>
          <w:lang w:val="en-US" w:eastAsia="zh-CN"/>
        </w:rPr>
        <w:t>（牵头单位：市发改委，配合单位：市委编办、市市场监管局、市民政局、市司法局）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9.开展等保测评，夯实数据安全基础。</w:t>
      </w:r>
      <w:r>
        <w:rPr>
          <w:rFonts w:hint="eastAsia" w:ascii="仿宋_GB2312" w:hAnsi="仿宋_GB2312" w:eastAsia="仿宋_GB2312" w:cs="仿宋_GB2312"/>
          <w:sz w:val="32"/>
          <w:szCs w:val="32"/>
          <w:lang w:val="en-US" w:eastAsia="zh-CN"/>
        </w:rPr>
        <w:t>按照公安部门要求，开展平台等保测评工作。加强信息安全管理，落实分级分类安全防护措施，定期开展信息安全风险评估和应急演练，严防信息泄露和滥用、篡改等风险，保障信用主体合法权益。</w:t>
      </w:r>
      <w:r>
        <w:rPr>
          <w:rFonts w:hint="eastAsia" w:ascii="楷体_GB2312" w:hAnsi="楷体_GB2312" w:eastAsia="楷体_GB2312" w:cs="楷体_GB2312"/>
          <w:sz w:val="32"/>
          <w:szCs w:val="32"/>
          <w:lang w:val="en-US" w:eastAsia="zh-CN"/>
        </w:rPr>
        <w:t>（牵头单位：市发改委，配合单位：市数据局、市公安局）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三、强化全流程的信用监管治理服务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10.推进信用承诺、核查，强化事前环节信用监管。</w:t>
      </w:r>
      <w:r>
        <w:rPr>
          <w:rFonts w:hint="eastAsia" w:ascii="仿宋_GB2312" w:hAnsi="仿宋_GB2312" w:eastAsia="仿宋_GB2312" w:cs="仿宋_GB2312"/>
          <w:sz w:val="32"/>
          <w:szCs w:val="32"/>
          <w:lang w:val="en-US" w:eastAsia="zh-CN"/>
        </w:rPr>
        <w:t>开展市场主体准入前诚信教育，建立健全信用承诺制度，推进重点领域信用承诺全覆盖。全面推广审批替代型、证明替代型、信用修复型、主动公示型等信用承诺应用，并将承诺履行情况记入信用记录。</w:t>
      </w:r>
      <w:r>
        <w:rPr>
          <w:rFonts w:hint="eastAsia" w:ascii="楷体_GB2312" w:hAnsi="楷体_GB2312" w:eastAsia="楷体_GB2312" w:cs="楷体_GB2312"/>
          <w:sz w:val="32"/>
          <w:szCs w:val="32"/>
          <w:lang w:val="en-US" w:eastAsia="zh-CN"/>
        </w:rPr>
        <w:t>（牵头单位：市发改委，配合单位：市司法局、市数据局）</w:t>
      </w:r>
      <w:r>
        <w:rPr>
          <w:rFonts w:hint="eastAsia" w:ascii="仿宋_GB2312" w:hAnsi="仿宋_GB2312" w:eastAsia="仿宋_GB2312" w:cs="仿宋_GB2312"/>
          <w:sz w:val="32"/>
          <w:szCs w:val="32"/>
          <w:lang w:val="en-US" w:eastAsia="zh-CN"/>
        </w:rPr>
        <w:t>落实企业上市合法合规信息核查和自然人无违法违规信息核查“一件事”工作，鼓励和引导各类市场主体在生产经营活动中主动应用信用报告。</w:t>
      </w:r>
      <w:r>
        <w:rPr>
          <w:rFonts w:hint="eastAsia" w:ascii="楷体_GB2312" w:hAnsi="楷体_GB2312" w:eastAsia="楷体_GB2312" w:cs="楷体_GB2312"/>
          <w:sz w:val="32"/>
          <w:szCs w:val="32"/>
          <w:lang w:val="en-US" w:eastAsia="zh-CN"/>
        </w:rPr>
        <w:t>（牵头单位：市发改委，配合单位：市社会信用体系建设联席会议成员单位）</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11.开展信用评价合同履约，强化事中环节信用监管。</w:t>
      </w:r>
      <w:r>
        <w:rPr>
          <w:rFonts w:hint="eastAsia" w:ascii="仿宋_GB2312" w:hAnsi="仿宋_GB2312" w:eastAsia="仿宋_GB2312" w:cs="仿宋_GB2312"/>
          <w:sz w:val="32"/>
          <w:szCs w:val="32"/>
          <w:lang w:val="en-US" w:eastAsia="zh-CN"/>
        </w:rPr>
        <w:t>综合应用国家公共信用综合评价结果，以信用风险为导向优化配置监管资源，结合行业特点制定分级分类监管标准，在食品生产、工程建设、农业农村、公共资源交易、交通运输、安全生产、消防安全、医疗卫生、生态环保等重点领域推进信用分级分类监管，提升监管精准性和有效性。</w:t>
      </w:r>
      <w:r>
        <w:rPr>
          <w:rFonts w:hint="eastAsia" w:ascii="楷体_GB2312" w:hAnsi="楷体_GB2312" w:eastAsia="楷体_GB2312" w:cs="楷体_GB2312"/>
          <w:sz w:val="32"/>
          <w:szCs w:val="32"/>
          <w:lang w:val="en-US" w:eastAsia="zh-CN"/>
        </w:rPr>
        <w:t>（牵头单位：市发改委，配合单位：市市场监管局、市住建局、市农业农村局、市公管局、市交通局、市应急局、市消防救援支队、市医保局、市卫健委、市生态环境局）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对政府签订或指导签订的合同履约情况进行跟踪记录，落实全省统一部署实现，合同履约情况进行归集、共享，持续推进公共政策兑现和政府履约践诺。</w:t>
      </w:r>
      <w:r>
        <w:rPr>
          <w:rFonts w:hint="eastAsia" w:ascii="楷体_GB2312" w:hAnsi="楷体_GB2312" w:eastAsia="楷体_GB2312" w:cs="楷体_GB2312"/>
          <w:sz w:val="32"/>
          <w:szCs w:val="32"/>
          <w:lang w:val="en-US" w:eastAsia="zh-CN"/>
        </w:rPr>
        <w:t>（牵头单位：市司法局、市公管局）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12.开展无感修复、失信治理，强化事后环节信用监管。</w:t>
      </w:r>
      <w:r>
        <w:rPr>
          <w:rFonts w:hint="eastAsia" w:ascii="仿宋_GB2312" w:hAnsi="仿宋_GB2312" w:eastAsia="仿宋_GB2312" w:cs="仿宋_GB2312"/>
          <w:sz w:val="32"/>
          <w:szCs w:val="32"/>
          <w:lang w:val="en-US" w:eastAsia="zh-CN"/>
        </w:rPr>
        <w:t>配合省信用办落实“无感修复”模式，实现“一次申请、一网通办、限时办结”</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多渠道开展信用修复政策普及，提高企业政策知晓率和参与度。</w:t>
      </w:r>
      <w:r>
        <w:rPr>
          <w:rFonts w:hint="eastAsia" w:ascii="楷体_GB2312" w:hAnsi="楷体_GB2312" w:eastAsia="楷体_GB2312" w:cs="楷体_GB2312"/>
          <w:sz w:val="32"/>
          <w:szCs w:val="32"/>
          <w:lang w:val="en-US" w:eastAsia="zh-CN"/>
        </w:rPr>
        <w:t>（牵头单位：市发改委，配合单位：市交通局、市市场监管局、市生态环境局、市税务局、市城管局、市消防救援支队）</w:t>
      </w:r>
      <w:r>
        <w:rPr>
          <w:rFonts w:hint="eastAsia" w:ascii="仿宋_GB2312" w:hAnsi="仿宋_GB2312" w:eastAsia="仿宋_GB2312" w:cs="仿宋_GB2312"/>
          <w:sz w:val="32"/>
          <w:szCs w:val="32"/>
          <w:lang w:val="en-US" w:eastAsia="zh-CN"/>
        </w:rPr>
        <w:t>开展严重违法失信行为专项治理，加大执行力度，督促严重失信主体尽快退出，实现动态“清零”。畅通政府部门违约失信投诉渠道，完善市、县、乡三级市场主体反映问题诉求直达机制。</w:t>
      </w:r>
      <w:r>
        <w:rPr>
          <w:rFonts w:hint="eastAsia" w:ascii="楷体_GB2312" w:hAnsi="楷体_GB2312" w:eastAsia="楷体_GB2312" w:cs="楷体_GB2312"/>
          <w:sz w:val="32"/>
          <w:szCs w:val="32"/>
          <w:lang w:val="en-US" w:eastAsia="zh-CN"/>
        </w:rPr>
        <w:t>（牵头单位：市发改委、市司法局、市工信局，配合单位：市中院、市税务局、市人社局、市统计局、市交通局、市财政局）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楷体_GB2312" w:hAnsi="楷体_GB2312" w:eastAsia="楷体_GB2312" w:cs="楷体_GB2312"/>
          <w:b/>
          <w:bCs/>
          <w:sz w:val="32"/>
          <w:szCs w:val="32"/>
          <w:lang w:val="en-US" w:eastAsia="zh-CN"/>
        </w:rPr>
      </w:pPr>
      <w:r>
        <w:rPr>
          <w:rFonts w:hint="eastAsia" w:ascii="黑体" w:hAnsi="黑体" w:eastAsia="黑体" w:cs="黑体"/>
          <w:sz w:val="32"/>
          <w:szCs w:val="32"/>
          <w:lang w:val="en-US" w:eastAsia="zh-CN"/>
        </w:rPr>
        <w:t>四、打造多领域的信用应用场景格局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13.深化提升“信用+”服务，拓展应用场景。</w:t>
      </w:r>
      <w:r>
        <w:rPr>
          <w:rFonts w:hint="eastAsia" w:ascii="仿宋_GB2312" w:hAnsi="仿宋_GB2312" w:eastAsia="仿宋_GB2312" w:cs="仿宋_GB2312"/>
          <w:sz w:val="32"/>
          <w:szCs w:val="32"/>
          <w:lang w:val="en-US" w:eastAsia="zh-CN"/>
        </w:rPr>
        <w:t>市自规局、市城管局、市医保局等部门对已开展的“信用+不动产”“信用+建筑垃圾治理”“信用+医保”“信用+劳动保障”“信用+出口”“信用+食品安全监管”“信用+安全生产”等应用场景进行深化提升。</w:t>
      </w:r>
      <w:r>
        <w:rPr>
          <w:rFonts w:hint="eastAsia" w:ascii="楷体_GB2312" w:hAnsi="楷体_GB2312" w:eastAsia="楷体_GB2312" w:cs="楷体_GB2312"/>
          <w:sz w:val="32"/>
          <w:szCs w:val="32"/>
          <w:lang w:val="en-US" w:eastAsia="zh-CN"/>
        </w:rPr>
        <w:t>（牵头单位：市发改委、市自规局、市城管局、市医保局、市人社局、市税务局、市市场监管局、市应急局）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14.全面创新“信用+”服务，探索应用场景。</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sz w:val="32"/>
          <w:szCs w:val="32"/>
          <w:lang w:val="en-US" w:eastAsia="zh-CN"/>
        </w:rPr>
        <w:t>县区人民政府、园区管委会，各市直部门结合区域实际和部门职能定位，创新打造具有本领域特色的信用应用场景，推动出台本行业领域“信用+”工作实施方案，推动“信用+能源”“信用+建筑”“信用+房产中介”“信用+物业”“信用+电商”“信用+旅游”“信用+牛肉汤产业”“信用+教育机构”等更多特色领域场景落地应用。</w:t>
      </w:r>
      <w:r>
        <w:rPr>
          <w:rFonts w:hint="eastAsia" w:ascii="楷体_GB2312" w:hAnsi="楷体_GB2312" w:eastAsia="楷体_GB2312" w:cs="楷体_GB2312"/>
          <w:sz w:val="32"/>
          <w:szCs w:val="32"/>
          <w:lang w:val="en-US" w:eastAsia="zh-CN"/>
        </w:rPr>
        <w:t>（牵头单位：市住建局、市商务局、市文旅局、市农业农村局，配合单位：淮南海关、市工信局、国网淮南供电公司等）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通过规范主体建设，优化基础保障，推进监管效能，打造应用场景，充分发挥社会信用体系联席会议作用，进一步创新信用监管，落实首违不罚、轻微免罚等包容审慎监管举措，积极培育信用经济市场主体，加强区域信用交流合作，推动信用监管和信用服务双轮驱动，稳步提升城市信用综合水平，争创全国社会信用体系建设示范区。</w:t>
      </w:r>
      <w:r>
        <w:rPr>
          <w:rFonts w:hint="eastAsia" w:ascii="楷体_GB2312" w:hAnsi="楷体_GB2312" w:eastAsia="楷体_GB2312" w:cs="楷体_GB2312"/>
          <w:sz w:val="32"/>
          <w:szCs w:val="32"/>
          <w:lang w:val="en-US" w:eastAsia="zh-CN"/>
        </w:rPr>
        <w:t>（牵头单位：市社会信用体系建设联席会议成员单位）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各领域信用应用场景推荐清单</w:t>
      </w:r>
    </w:p>
    <w:tbl>
      <w:tblPr>
        <w:tblStyle w:val="5"/>
        <w:tblW w:w="14961"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2491"/>
        <w:gridCol w:w="1771"/>
        <w:gridCol w:w="5991"/>
        <w:gridCol w:w="1943"/>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49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sz w:val="28"/>
                <w:szCs w:val="28"/>
                <w:u w:val="none"/>
                <w:lang w:val="en-US" w:eastAsia="zh-CN"/>
              </w:rPr>
              <w:t>一、深化提升类（在已开展的信用应用场景基础上进行优化完善）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信用+不动产</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不动产登记</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信用核查和信用承诺为抓手，推动政务服务创新升级，依托“信用承诺在线签署”系统功能，通过个人继承登记告知承诺书在线签署，实现部门间政务数据信息共享与核验。推广信用体系建设与不动产登记有机结合案例，加大政策宣传力度，在简化流程、降低成本、精简材料等方面持续提升。</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市自规局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4"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信用+建筑垃圾治理</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渣土运输</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信用赋能执法，全面推进建筑垃圾治理，构建建筑垃圾运输全链条信用管理体系，制定信用评价指标，将信用评价与执法检查、违法违规处置直接挂钩，提升渣土车辆驾驶员安全文明意识，提高建筑垃圾运输行业主体诚信度。</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市城管局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8"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信用+医保</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医疗保障</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为推进我市医保基金监管信用体系建设工作，切实维护医保基金安全，营造诚实、自律、守信、互信的信用环境，市医保局积极探索建设DIP新型医保支付方式信用监管体系，建立DIP试点医疗机构信用评价指标，从履约情况、处罚情况、服务资格、媒体曝光等渠道进行数据采集，按照评价结果的不同等级开展分级分类监管，进一步优化评价指标，减少线下指标，增加线上指标，提高评价指标的公平性和可及性。</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市医保局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信用+劳动保障</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劳动保障</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充分发挥劳动保障守法诚信工作效用，开展劳动保障守法诚信等级评价，激励用人单位守法诚信经营，依托“安徽智慧劳动监察信息系统”对用人单位申报的劳动用工数据核查反馈后，将用人单位劳动保障守法诚信进行等级划分，建立应用结果数据反馈闭环机制，定期向相关主体反馈应用结果数据，通过不断优化和调整策略，实现信用体系的良性循环和持续优化。</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市人社局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信用+出口</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出口管理</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针对出口企业对“信用赋能外贸”的需求，创新构建“信用+出口企业分类管理”模式，实现信用与外贸便利化深度融合。依据纳税信用等级将出口企业划分为四类，实施差异化管理，对信用一类企业实施“先退后审”、三类以上企业，实施“无纸化申报”，缩短退税周期，一、二类出口企业出口退税平均办理时限为3个工作日内；联合海关等部门建立“信用修复联审机制”，形成“失信即改、守信激励”的良性循环。</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市税务局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淮南海关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信用+食品安全监管</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食品监管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聚焦食品安全问题，大力推行食品安全风险分级监管，依托食品综合监管平台，完善信息公开制度，做好行政审批、稽查处罚、抽验监测等信息公开工作，按照风险等级和监管频次要求，科学制定监督检查计划，落实监管职责，精准监管。</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市市场监管局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4"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信用+安全生产</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安全生产</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立企业安全生产信用档案，归集安全许可、隐患排查整改、事故处理、应急演练、行政处罚等信息。制定信用评价标准，将结果与监管频次挂钩，信用优的企业减少检查频次，优先推荐安全生产示范，公开企业信用信息，强化安全生产诚信约束。</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市应急局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9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sz w:val="28"/>
                <w:szCs w:val="28"/>
                <w:u w:val="none"/>
                <w:lang w:val="en-US" w:eastAsia="zh-CN"/>
              </w:rPr>
              <w:t>二、探索推进类（在多行业领域探索开展信用惠民便企应用）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4"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信用+能源</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能源</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聚焦能源生产、供应、消费全环节，探索建立能源领域信用管理体系。研究探索能源行业经营主体相关执（从）业人员信用建设，根据公共信用评价结果，按照职责分工，积极探索电力安全、电力市场、可再生能源消费、油气管网公平开放、资质许可、煤炭行业管理等相关领域信用分级分类监管。金融机构依托全国一体化融资信用服务平台网络开发能源行业相关信贷产品，拓展“信用+能源+金融”应用场景。</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市发改委</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国网淮南供电公司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信用+建筑</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建筑业</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以建筑工程质量安全为核心，探索构建建筑领域信用管理体系。制定建筑行业信用评价管理办法，建立全周期造价咨询企业监管体系，实现信用信息采集、评价、公示、应用全流程线上化，强化信用信息在行业监管中的应用，推动建筑行业规范有序发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市住建局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信用+房产中介</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房产中介</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管部门监管数据、行政处罚记录、投诉举报信息、合同履约情况等，建立中介机构及从业人员信用档案，实现“一机构一档、一人员一档”。以行业信用评价结果等为依据，</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开展行业分级分类信用评价，提升房</w:t>
            </w:r>
            <w:r>
              <w:rPr>
                <w:rFonts w:hint="eastAsia" w:ascii="仿宋_GB2312" w:hAnsi="仿宋_GB2312" w:eastAsia="仿宋_GB2312" w:cs="仿宋_GB2312"/>
                <w:i w:val="0"/>
                <w:iCs w:val="0"/>
                <w:color w:val="000000"/>
                <w:kern w:val="0"/>
                <w:sz w:val="24"/>
                <w:szCs w:val="24"/>
                <w:u w:val="none"/>
                <w:lang w:val="en-US" w:eastAsia="zh-CN" w:bidi="ar"/>
              </w:rPr>
              <w:t>地产中介机构诚信经营意识，避免“黑中介”干扰。</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市住建局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信用+物业</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物业</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聚焦物业服务企业监管，将信用与物业服务相结合，打通住建、市场监管、消防、城管等多部门数据链路开展信用评价，激励物业服务企业诚信经营，提高服务水平，对信用等级高的物业服务企业给予政策支持等激励措施，鼓励业主积极参与小区治理，按时交纳物业费，遵守小区规章制度，加强诚信宣传，营造“知信、守信、用信”的社会氛围。通过信用激励，大力提升物业服务质量和水平，增强居民与物业公司之间的信任，规范物业服务市场秩序，推动物业服务行业健康发展。</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市住建局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信用+电商</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电子商务</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搭建电商企业信用信息数据库，通过信用信息赋能，挖掘一批信用良好、发展潜力大的电商企业，充分发挥信用评级在优化电商产业发展，助力电商主体提质升级中的重要作用，加快电子商务在全市各领域应用的不断拓展和深化，构建以信用为基础的直播带货监管新模式。</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市商务局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“信用+”场景名称</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应用领域</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具体内容</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牵头单位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8"/>
                <w:szCs w:val="28"/>
                <w:u w:val="none"/>
                <w:lang w:val="en-US" w:eastAsia="zh-CN" w:bidi="ar-SA"/>
              </w:rPr>
            </w:pPr>
            <w:r>
              <w:rPr>
                <w:rFonts w:hint="eastAsia" w:ascii="黑体" w:hAnsi="黑体" w:eastAsia="黑体" w:cs="黑体"/>
                <w:b w:val="0"/>
                <w:bCs w:val="0"/>
                <w:i w:val="0"/>
                <w:iCs w:val="0"/>
                <w:color w:val="000000"/>
                <w:kern w:val="0"/>
                <w:sz w:val="28"/>
                <w:szCs w:val="28"/>
                <w:u w:val="none"/>
                <w:lang w:val="en-US" w:eastAsia="zh-CN" w:bidi="ar"/>
              </w:rPr>
              <w:t>配合单位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信用+旅游</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文化旅游</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聚焦旅行社、景区景点、酒店民宿、餐饮购物、导游服务等核心业态，构建信用采集、分级评价、差异监管、惠民激励、联合惩戒的全链条管理体系，推动信用与旅游服务、监管、消费深度融合，助力文旅产业高质量发展。结合本地文旅特色，将诚信故事融入红色研学、景区讲解等场景，引导游客与经营者树立诚信意识。</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市文旅局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市市场监管局、市商务局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信用+牛肉汤产业</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农业特色</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以淮南牛肉汤特色产业为核心，构建全链条信用管理体系。归集牛肉汤企业的信用信息，建立“一店一档” 信用档案。</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制定信用评价指标</w:t>
            </w:r>
            <w:r>
              <w:rPr>
                <w:rFonts w:hint="eastAsia" w:ascii="仿宋_GB2312" w:hAnsi="仿宋_GB2312" w:eastAsia="仿宋_GB2312" w:cs="仿宋_GB2312"/>
                <w:i w:val="0"/>
                <w:iCs w:val="0"/>
                <w:color w:val="FF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将评价结果与监管频次、评优推荐、政策扶持挂钩。融入诚信宣传，引导经营者诚信经营，助力淮南牛肉汤产业品牌升级。</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市农业农村局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市商务局、市工信局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信用+教育机构</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教育</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围绕教育机构核心经营环节，建立信用档案，归集资质证照、师资合规性、预收费监管、退费履约、安全管理、投诉处理等信息。结合校外培训机构年度检查工作，定期公开年检结果，引导家长选择诚信机构，助力教育服务市场规范。</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市教体局、市文旅局、市科技局</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00000000" w:usb1="00000000" w:usb2="00000000" w:usb3="00000000" w:csb0="00000001"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83C86"/>
    <w:rsid w:val="054350CD"/>
    <w:rsid w:val="05E332D7"/>
    <w:rsid w:val="093D2581"/>
    <w:rsid w:val="0FBC02A4"/>
    <w:rsid w:val="10330785"/>
    <w:rsid w:val="206F41B2"/>
    <w:rsid w:val="23283C86"/>
    <w:rsid w:val="2DBB188C"/>
    <w:rsid w:val="2FE67E09"/>
    <w:rsid w:val="34C72A21"/>
    <w:rsid w:val="36C60778"/>
    <w:rsid w:val="37B76870"/>
    <w:rsid w:val="3BDF2115"/>
    <w:rsid w:val="3D19224B"/>
    <w:rsid w:val="3DD1741B"/>
    <w:rsid w:val="3EA72F24"/>
    <w:rsid w:val="4A0C7058"/>
    <w:rsid w:val="4AB12316"/>
    <w:rsid w:val="4D9309CD"/>
    <w:rsid w:val="51AB6E8F"/>
    <w:rsid w:val="54FDA873"/>
    <w:rsid w:val="58B154E1"/>
    <w:rsid w:val="58D52BCD"/>
    <w:rsid w:val="5AE13500"/>
    <w:rsid w:val="5CDFFA3C"/>
    <w:rsid w:val="5D1256CE"/>
    <w:rsid w:val="5EDF2CEB"/>
    <w:rsid w:val="5EF62DCD"/>
    <w:rsid w:val="5FA71D1F"/>
    <w:rsid w:val="609D05FF"/>
    <w:rsid w:val="63934B01"/>
    <w:rsid w:val="65FB4DB9"/>
    <w:rsid w:val="67446228"/>
    <w:rsid w:val="697021E8"/>
    <w:rsid w:val="69A80A81"/>
    <w:rsid w:val="6E7D6E82"/>
    <w:rsid w:val="6FDED66D"/>
    <w:rsid w:val="73FF2EF7"/>
    <w:rsid w:val="76D90E8A"/>
    <w:rsid w:val="77622108"/>
    <w:rsid w:val="77B12E01"/>
    <w:rsid w:val="7AEFC99F"/>
    <w:rsid w:val="7B3A3DE2"/>
    <w:rsid w:val="7C227305"/>
    <w:rsid w:val="7DFE29EF"/>
    <w:rsid w:val="7ECFD93E"/>
    <w:rsid w:val="7FDF7006"/>
    <w:rsid w:val="7FEF0C4D"/>
    <w:rsid w:val="7FFF4BBF"/>
    <w:rsid w:val="9FFCC241"/>
    <w:rsid w:val="B777F29F"/>
    <w:rsid w:val="BA3CF981"/>
    <w:rsid w:val="BBBFDA8F"/>
    <w:rsid w:val="BE8F3D73"/>
    <w:rsid w:val="C9FD4F6F"/>
    <w:rsid w:val="D5CE42C5"/>
    <w:rsid w:val="D7594A77"/>
    <w:rsid w:val="DAFFD69C"/>
    <w:rsid w:val="DBCFBE25"/>
    <w:rsid w:val="DBD0C3BC"/>
    <w:rsid w:val="EBF79349"/>
    <w:rsid w:val="EFBFE998"/>
    <w:rsid w:val="F14D9E35"/>
    <w:rsid w:val="FAFA9D5E"/>
    <w:rsid w:val="FBDEA818"/>
    <w:rsid w:val="FCDD2005"/>
    <w:rsid w:val="FDFCACE5"/>
    <w:rsid w:val="FE93A33D"/>
    <w:rsid w:val="FEED3E0C"/>
    <w:rsid w:val="FEF7E724"/>
    <w:rsid w:val="FF6EA3EC"/>
    <w:rsid w:val="FFFFB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5920</Words>
  <Characters>5949</Characters>
  <Lines>0</Lines>
  <Paragraphs>0</Paragraphs>
  <TotalTime>98</TotalTime>
  <ScaleCrop>false</ScaleCrop>
  <LinksUpToDate>false</LinksUpToDate>
  <CharactersWithSpaces>5950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2025-11-16T09:17:00Z</dcterms:created>
  <dc:creator>关爱豌豆成长协会</dc:creator>
  <cp:lastModifiedBy>uos</cp:lastModifiedBy>
  <cp:lastPrinted>2025-12-03T08:50:00Z</cp:lastPrinted>
  <dcterms:modified xsi:type="dcterms:W3CDTF">2025-12-03T09:24:46Z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EADC25FD45BA43999D784B2963898297_13</vt:lpwstr>
  </property>
  <property fmtid="{D5CDD505-2E9C-101B-9397-08002B2CF9AE}" pid="4" name="KSOTemplateDocerSaveRecord">
    <vt:lpwstr>eyJoZGlkIjoiMGY2ODllM2Q5YzUwNDk0M2U0MGUyMmJmMWNlYzg2MGUiLCJ1c2VySWQiOiIyNTY3NjUwNzIifQ==</vt:lpwstr>
  </property>
</Properties>
</file>