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CF5EF">
      <w:pPr>
        <w:tabs>
          <w:tab w:val="left" w:pos="1966"/>
        </w:tabs>
        <w:bidi w:val="0"/>
        <w:jc w:val="center"/>
        <w:rPr>
          <w:rFonts w:hint="default" w:ascii="Times New Roman" w:hAnsi="Times New Roman" w:eastAsia="方正小标宋简体" w:cs="Times New Roman"/>
          <w:color w:val="000000"/>
          <w:w w:val="100"/>
          <w:sz w:val="44"/>
          <w:szCs w:val="44"/>
          <w:highlight w:val="none"/>
          <w:lang w:eastAsia="zh-CN"/>
        </w:rPr>
      </w:pPr>
      <w:bookmarkStart w:id="0" w:name="_GoBack"/>
      <w:r>
        <w:rPr>
          <w:rFonts w:hint="default" w:ascii="Times New Roman" w:hAnsi="Times New Roman" w:eastAsia="方正小标宋简体" w:cs="Times New Roman"/>
          <w:color w:val="000000"/>
          <w:w w:val="100"/>
          <w:sz w:val="44"/>
          <w:szCs w:val="44"/>
          <w:highlight w:val="none"/>
          <w:lang w:val="en-US" w:eastAsia="zh-CN"/>
        </w:rPr>
        <w:t>2025年全市3</w:t>
      </w:r>
      <w:r>
        <w:rPr>
          <w:rFonts w:hint="default" w:ascii="Times New Roman" w:hAnsi="Times New Roman" w:eastAsia="方正小标宋简体" w:cs="Times New Roman"/>
          <w:color w:val="000000"/>
          <w:w w:val="100"/>
          <w:sz w:val="44"/>
          <w:szCs w:val="44"/>
          <w:highlight w:val="none"/>
          <w:lang w:eastAsia="zh-CN"/>
        </w:rPr>
        <w:t>0项民生实事</w:t>
      </w:r>
      <w:r>
        <w:rPr>
          <w:rFonts w:hint="default" w:ascii="Times New Roman" w:hAnsi="Times New Roman" w:eastAsia="方正小标宋简体" w:cs="Times New Roman"/>
          <w:color w:val="000000"/>
          <w:w w:val="100"/>
          <w:sz w:val="44"/>
          <w:szCs w:val="44"/>
          <w:highlight w:val="none"/>
          <w:lang w:val="en-US" w:eastAsia="zh-CN"/>
        </w:rPr>
        <w:t>1-12月份完成情况</w:t>
      </w:r>
      <w:r>
        <w:rPr>
          <w:rFonts w:hint="default" w:ascii="Times New Roman" w:hAnsi="Times New Roman" w:eastAsia="方正小标宋简体" w:cs="Times New Roman"/>
          <w:color w:val="000000"/>
          <w:w w:val="100"/>
          <w:sz w:val="44"/>
          <w:szCs w:val="44"/>
          <w:highlight w:val="none"/>
          <w:lang w:eastAsia="zh-CN"/>
        </w:rPr>
        <w:t>表</w:t>
      </w:r>
    </w:p>
    <w:bookmarkEnd w:id="0"/>
    <w:tbl>
      <w:tblPr>
        <w:tblStyle w:val="2"/>
        <w:tblW w:w="494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759"/>
        <w:gridCol w:w="4421"/>
        <w:gridCol w:w="8863"/>
      </w:tblGrid>
      <w:tr w14:paraId="37CC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98" w:type="pct"/>
            <w:tcBorders>
              <w:tl2br w:val="nil"/>
              <w:tr2bl w:val="nil"/>
            </w:tcBorders>
            <w:noWrap w:val="0"/>
            <w:vAlign w:val="center"/>
          </w:tcPr>
          <w:p w14:paraId="62D3A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序号</w:t>
            </w:r>
          </w:p>
        </w:tc>
        <w:tc>
          <w:tcPr>
            <w:tcW w:w="259" w:type="pct"/>
            <w:tcBorders>
              <w:tl2br w:val="nil"/>
              <w:tr2bl w:val="nil"/>
            </w:tcBorders>
            <w:noWrap w:val="0"/>
            <w:vAlign w:val="center"/>
          </w:tcPr>
          <w:p w14:paraId="45B61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牵头单位</w:t>
            </w:r>
          </w:p>
        </w:tc>
        <w:tc>
          <w:tcPr>
            <w:tcW w:w="1511" w:type="pct"/>
            <w:tcBorders>
              <w:tl2br w:val="nil"/>
              <w:tr2bl w:val="nil"/>
            </w:tcBorders>
            <w:noWrap w:val="0"/>
            <w:vAlign w:val="center"/>
          </w:tcPr>
          <w:p w14:paraId="2614D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年度目标任务</w:t>
            </w:r>
          </w:p>
        </w:tc>
        <w:tc>
          <w:tcPr>
            <w:tcW w:w="3030" w:type="pct"/>
            <w:tcBorders>
              <w:tl2br w:val="nil"/>
              <w:tr2bl w:val="nil"/>
            </w:tcBorders>
            <w:noWrap w:val="0"/>
            <w:vAlign w:val="center"/>
          </w:tcPr>
          <w:p w14:paraId="22CAF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color w:val="000000"/>
                <w:sz w:val="24"/>
                <w:szCs w:val="24"/>
                <w:highlight w:val="none"/>
                <w:lang w:val="en-US" w:eastAsia="zh-CN" w:bidi="ar"/>
              </w:rPr>
            </w:pPr>
            <w:r>
              <w:rPr>
                <w:rFonts w:hint="default" w:ascii="Times New Roman" w:hAnsi="Times New Roman" w:eastAsia="黑体" w:cs="Times New Roman"/>
                <w:color w:val="000000"/>
                <w:sz w:val="24"/>
                <w:szCs w:val="24"/>
                <w:highlight w:val="none"/>
                <w:u w:val="none"/>
                <w:lang w:val="en-US" w:eastAsia="zh-CN" w:bidi="ar"/>
              </w:rPr>
              <w:t>完成情况</w:t>
            </w:r>
          </w:p>
        </w:tc>
      </w:tr>
      <w:tr w14:paraId="654E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98" w:type="pct"/>
            <w:vMerge w:val="restart"/>
            <w:tcBorders>
              <w:tl2br w:val="nil"/>
              <w:tr2bl w:val="nil"/>
            </w:tcBorders>
            <w:noWrap w:val="0"/>
            <w:vAlign w:val="center"/>
          </w:tcPr>
          <w:p w14:paraId="3D8F9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w:t>
            </w:r>
          </w:p>
        </w:tc>
        <w:tc>
          <w:tcPr>
            <w:tcW w:w="259" w:type="pct"/>
            <w:vMerge w:val="restart"/>
            <w:tcBorders>
              <w:tl2br w:val="nil"/>
              <w:tr2bl w:val="nil"/>
            </w:tcBorders>
            <w:noWrap w:val="0"/>
            <w:vAlign w:val="center"/>
          </w:tcPr>
          <w:p w14:paraId="1AAC9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1511" w:type="pct"/>
            <w:tcBorders>
              <w:tl2br w:val="nil"/>
              <w:tr2bl w:val="nil"/>
            </w:tcBorders>
            <w:noWrap w:val="0"/>
            <w:vAlign w:val="center"/>
          </w:tcPr>
          <w:p w14:paraId="2F859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（1）实施促进重点人群就业行动，对符合条件的毕业生按照1500元/人的标准集中发放一次性求职补贴。</w:t>
            </w:r>
          </w:p>
        </w:tc>
        <w:tc>
          <w:tcPr>
            <w:tcW w:w="3030" w:type="pct"/>
            <w:tcBorders>
              <w:tl2br w:val="nil"/>
              <w:tr2bl w:val="nil"/>
            </w:tcBorders>
            <w:noWrap w:val="0"/>
            <w:vAlign w:val="center"/>
          </w:tcPr>
          <w:p w14:paraId="2D8F9FC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auto"/>
                <w:sz w:val="24"/>
                <w:highlight w:val="none"/>
                <w:lang w:val="en-US" w:eastAsia="zh-CN"/>
              </w:rPr>
              <w:t>全年对4547名符合条件的毕业生发放</w:t>
            </w:r>
            <w:r>
              <w:rPr>
                <w:rFonts w:hint="default" w:ascii="Times New Roman" w:hAnsi="Times New Roman" w:eastAsia="仿宋_GB2312" w:cs="Times New Roman"/>
                <w:color w:val="000000"/>
                <w:sz w:val="24"/>
                <w:szCs w:val="24"/>
                <w:highlight w:val="none"/>
                <w:u w:val="none"/>
                <w:lang w:val="en-US" w:eastAsia="zh-CN"/>
              </w:rPr>
              <w:t>一次性求职补贴</w:t>
            </w:r>
            <w:r>
              <w:rPr>
                <w:rFonts w:hint="default" w:ascii="Times New Roman" w:hAnsi="Times New Roman" w:eastAsia="仿宋_GB2312" w:cs="Times New Roman"/>
                <w:color w:val="auto"/>
                <w:sz w:val="24"/>
                <w:highlight w:val="none"/>
                <w:lang w:val="en-US" w:eastAsia="zh-CN"/>
              </w:rPr>
              <w:t>682.05万元。</w:t>
            </w:r>
          </w:p>
        </w:tc>
      </w:tr>
      <w:tr w14:paraId="3E8B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198" w:type="pct"/>
            <w:vMerge w:val="continue"/>
            <w:tcBorders>
              <w:tl2br w:val="nil"/>
              <w:tr2bl w:val="nil"/>
            </w:tcBorders>
            <w:noWrap w:val="0"/>
            <w:vAlign w:val="center"/>
          </w:tcPr>
          <w:p w14:paraId="0CE39F1B">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040574E7">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25EA4D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（2）推进“三公里”就业圈全覆盖，累计建成线下实体零工市场9个、零工驿站16个。</w:t>
            </w:r>
          </w:p>
        </w:tc>
        <w:tc>
          <w:tcPr>
            <w:tcW w:w="3030" w:type="pct"/>
            <w:tcBorders>
              <w:tl2br w:val="nil"/>
              <w:tr2bl w:val="nil"/>
            </w:tcBorders>
            <w:noWrap w:val="0"/>
            <w:vAlign w:val="center"/>
          </w:tcPr>
          <w:p w14:paraId="5FE70E8B">
            <w:pPr>
              <w:keepNext w:val="0"/>
              <w:keepLines w:val="0"/>
              <w:pageBreakBefore w:val="0"/>
              <w:widowControl/>
              <w:kinsoku/>
              <w:wordWrap/>
              <w:overflowPunct/>
              <w:topLinePunct w:val="0"/>
              <w:autoSpaceDE/>
              <w:autoSpaceDN/>
              <w:bidi w:val="0"/>
              <w:snapToGrid/>
              <w:spacing w:line="260" w:lineRule="exact"/>
              <w:jc w:val="left"/>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000000"/>
                <w:sz w:val="24"/>
                <w:highlight w:val="none"/>
                <w:lang w:val="en-US" w:eastAsia="zh-CN"/>
              </w:rPr>
              <w:t>全年</w:t>
            </w:r>
            <w:r>
              <w:rPr>
                <w:rFonts w:hint="default" w:ascii="Times New Roman" w:hAnsi="Times New Roman" w:eastAsia="仿宋_GB2312" w:cs="Times New Roman"/>
                <w:color w:val="000000"/>
                <w:sz w:val="24"/>
                <w:highlight w:val="none"/>
                <w:lang w:eastAsia="zh-CN"/>
              </w:rPr>
              <w:t>全市</w:t>
            </w:r>
            <w:r>
              <w:rPr>
                <w:rFonts w:hint="default" w:ascii="Times New Roman" w:hAnsi="Times New Roman" w:eastAsia="仿宋_GB2312" w:cs="Times New Roman"/>
                <w:color w:val="000000"/>
                <w:sz w:val="24"/>
                <w:highlight w:val="none"/>
                <w:lang w:val="en-US" w:eastAsia="zh-CN"/>
              </w:rPr>
              <w:t>建成9个</w:t>
            </w:r>
            <w:r>
              <w:rPr>
                <w:rFonts w:hint="default" w:ascii="Times New Roman" w:hAnsi="Times New Roman" w:eastAsia="仿宋_GB2312" w:cs="Times New Roman"/>
                <w:color w:val="000000"/>
                <w:sz w:val="24"/>
                <w:highlight w:val="none"/>
                <w:lang w:eastAsia="zh-CN"/>
              </w:rPr>
              <w:t>零工市场、</w:t>
            </w:r>
            <w:r>
              <w:rPr>
                <w:rFonts w:hint="default" w:ascii="Times New Roman" w:hAnsi="Times New Roman" w:eastAsia="仿宋_GB2312" w:cs="Times New Roman"/>
                <w:color w:val="000000"/>
                <w:sz w:val="24"/>
                <w:highlight w:val="none"/>
                <w:lang w:val="en-US" w:eastAsia="zh-CN"/>
              </w:rPr>
              <w:t>16零工驿站。</w:t>
            </w:r>
          </w:p>
        </w:tc>
      </w:tr>
      <w:tr w14:paraId="3572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198" w:type="pct"/>
            <w:tcBorders>
              <w:tl2br w:val="nil"/>
              <w:tr2bl w:val="nil"/>
            </w:tcBorders>
            <w:noWrap w:val="0"/>
            <w:vAlign w:val="center"/>
          </w:tcPr>
          <w:p w14:paraId="788CE91A">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w:t>
            </w:r>
          </w:p>
          <w:p w14:paraId="5C3AD288">
            <w:pPr>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2</w:t>
            </w:r>
          </w:p>
        </w:tc>
        <w:tc>
          <w:tcPr>
            <w:tcW w:w="259" w:type="pct"/>
            <w:tcBorders>
              <w:tl2br w:val="nil"/>
              <w:tr2bl w:val="nil"/>
            </w:tcBorders>
            <w:noWrap w:val="0"/>
            <w:vAlign w:val="center"/>
          </w:tcPr>
          <w:p w14:paraId="3C5EE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市商务局</w:t>
            </w:r>
          </w:p>
        </w:tc>
        <w:tc>
          <w:tcPr>
            <w:tcW w:w="1511" w:type="pct"/>
            <w:tcBorders>
              <w:tl2br w:val="nil"/>
              <w:tr2bl w:val="nil"/>
            </w:tcBorders>
            <w:noWrap w:val="0"/>
            <w:vAlign w:val="center"/>
          </w:tcPr>
          <w:p w14:paraId="63377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（3）实施放心家政行动，培训家政服务人员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1万</w:t>
            </w:r>
            <w:r>
              <w:rPr>
                <w:rFonts w:hint="default" w:ascii="Times New Roman" w:hAnsi="Times New Roman" w:eastAsia="仿宋_GB2312" w:cs="Times New Roman"/>
                <w:b w:val="0"/>
                <w:bCs/>
                <w:color w:val="000000"/>
                <w:sz w:val="24"/>
                <w:szCs w:val="24"/>
                <w:highlight w:val="none"/>
                <w:u w:val="none"/>
                <w:lang w:val="en-US" w:eastAsia="zh-CN"/>
              </w:rPr>
              <w:t>人次，新增家政服务人员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5000</w:t>
            </w:r>
            <w:r>
              <w:rPr>
                <w:rFonts w:hint="default" w:ascii="Times New Roman" w:hAnsi="Times New Roman" w:eastAsia="仿宋_GB2312" w:cs="Times New Roman"/>
                <w:b w:val="0"/>
                <w:bCs/>
                <w:color w:val="000000"/>
                <w:sz w:val="24"/>
                <w:szCs w:val="24"/>
                <w:highlight w:val="none"/>
                <w:u w:val="none"/>
                <w:lang w:val="en-US" w:eastAsia="zh-CN"/>
              </w:rPr>
              <w:t>人。</w:t>
            </w:r>
          </w:p>
        </w:tc>
        <w:tc>
          <w:tcPr>
            <w:tcW w:w="3030" w:type="pct"/>
            <w:tcBorders>
              <w:tl2br w:val="nil"/>
              <w:tr2bl w:val="nil"/>
            </w:tcBorders>
            <w:noWrap w:val="0"/>
            <w:vAlign w:val="center"/>
          </w:tcPr>
          <w:p w14:paraId="091544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全年完成家政服务人员培训10250人次，新增家政服务人员5012人。</w:t>
            </w:r>
          </w:p>
        </w:tc>
      </w:tr>
      <w:tr w14:paraId="3E2F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198" w:type="pct"/>
            <w:vMerge w:val="restart"/>
            <w:tcBorders>
              <w:tl2br w:val="nil"/>
              <w:tr2bl w:val="nil"/>
            </w:tcBorders>
            <w:noWrap w:val="0"/>
            <w:vAlign w:val="center"/>
          </w:tcPr>
          <w:p w14:paraId="56152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3</w:t>
            </w:r>
          </w:p>
        </w:tc>
        <w:tc>
          <w:tcPr>
            <w:tcW w:w="259" w:type="pct"/>
            <w:vMerge w:val="restart"/>
            <w:tcBorders>
              <w:tl2br w:val="nil"/>
              <w:tr2bl w:val="nil"/>
            </w:tcBorders>
            <w:noWrap w:val="0"/>
            <w:vAlign w:val="center"/>
          </w:tcPr>
          <w:p w14:paraId="378EF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1511" w:type="pct"/>
            <w:tcBorders>
              <w:tl2br w:val="nil"/>
              <w:tr2bl w:val="nil"/>
            </w:tcBorders>
            <w:noWrap w:val="0"/>
            <w:vAlign w:val="center"/>
          </w:tcPr>
          <w:p w14:paraId="55F22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（4）加快城乡养老服务体系建设，建设社区嵌入式养老服务机构（综合体）不少于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9</w:t>
            </w:r>
            <w:r>
              <w:rPr>
                <w:rFonts w:hint="default" w:ascii="Times New Roman" w:hAnsi="Times New Roman" w:eastAsia="仿宋_GB2312" w:cs="Times New Roman"/>
                <w:b w:val="0"/>
                <w:bCs/>
                <w:color w:val="000000"/>
                <w:sz w:val="24"/>
                <w:szCs w:val="24"/>
                <w:highlight w:val="none"/>
                <w:u w:val="none"/>
                <w:lang w:val="en-US" w:eastAsia="zh-CN"/>
              </w:rPr>
              <w:t>个、农村幸福院不少于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val="en-US" w:eastAsia="zh-CN"/>
              </w:rPr>
              <w:t>个。</w:t>
            </w:r>
          </w:p>
        </w:tc>
        <w:tc>
          <w:tcPr>
            <w:tcW w:w="3030" w:type="pct"/>
            <w:tcBorders>
              <w:tl2br w:val="nil"/>
              <w:tr2bl w:val="nil"/>
            </w:tcBorders>
            <w:noWrap w:val="0"/>
            <w:vAlign w:val="center"/>
          </w:tcPr>
          <w:p w14:paraId="201DB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全年全市建成社区嵌入式养老服务机构（综合体）9个、农村幸福院42个。</w:t>
            </w:r>
          </w:p>
        </w:tc>
      </w:tr>
      <w:tr w14:paraId="45F1E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98" w:type="pct"/>
            <w:vMerge w:val="continue"/>
            <w:tcBorders>
              <w:tl2br w:val="nil"/>
              <w:tr2bl w:val="nil"/>
            </w:tcBorders>
            <w:noWrap w:val="0"/>
            <w:vAlign w:val="center"/>
          </w:tcPr>
          <w:p w14:paraId="4D9DAFCC">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622F2897">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1511" w:type="pct"/>
            <w:tcBorders>
              <w:tl2br w:val="nil"/>
              <w:tr2bl w:val="nil"/>
            </w:tcBorders>
            <w:noWrap w:val="0"/>
            <w:vAlign w:val="center"/>
          </w:tcPr>
          <w:p w14:paraId="570A3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b w:val="0"/>
                <w:bCs/>
                <w:color w:val="000000"/>
                <w:sz w:val="24"/>
                <w:szCs w:val="24"/>
                <w:highlight w:val="none"/>
                <w:u w:val="none"/>
                <w:lang w:val="en-US" w:eastAsia="zh-CN"/>
              </w:rPr>
              <w:t>（5）对公建公营农村敬老院按照平均每年</w:t>
            </w:r>
            <w:r>
              <w:rPr>
                <w:rFonts w:hint="default" w:ascii="Times New Roman" w:hAnsi="Times New Roman" w:eastAsia="仿宋_GB2312" w:cs="Times New Roman"/>
                <w:b w:val="0"/>
                <w:bCs/>
                <w:strike w:val="0"/>
                <w:dstrike w:val="0"/>
                <w:color w:val="000000"/>
                <w:sz w:val="24"/>
                <w:szCs w:val="24"/>
                <w:highlight w:val="none"/>
                <w:u w:val="none"/>
                <w:lang w:val="en-US" w:eastAsia="zh-CN"/>
              </w:rPr>
              <w:t>5</w:t>
            </w:r>
            <w:r>
              <w:rPr>
                <w:rFonts w:hint="default" w:ascii="Times New Roman" w:hAnsi="Times New Roman" w:eastAsia="仿宋_GB2312" w:cs="Times New Roman"/>
                <w:b w:val="0"/>
                <w:bCs/>
                <w:color w:val="000000"/>
                <w:sz w:val="24"/>
                <w:szCs w:val="24"/>
                <w:highlight w:val="none"/>
                <w:u w:val="none"/>
                <w:lang w:val="en-US" w:eastAsia="zh-CN"/>
              </w:rPr>
              <w:t>万元的标准给予补助。</w:t>
            </w:r>
          </w:p>
        </w:tc>
        <w:tc>
          <w:tcPr>
            <w:tcW w:w="3030" w:type="pct"/>
            <w:tcBorders>
              <w:tl2br w:val="nil"/>
              <w:tr2bl w:val="nil"/>
            </w:tcBorders>
            <w:noWrap w:val="0"/>
            <w:vAlign w:val="center"/>
          </w:tcPr>
          <w:p w14:paraId="57A89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bidi="ar"/>
              </w:rPr>
              <w:t>全年为全市45家</w:t>
            </w:r>
            <w:r>
              <w:rPr>
                <w:rFonts w:hint="default" w:ascii="Times New Roman" w:hAnsi="Times New Roman" w:eastAsia="仿宋_GB2312" w:cs="Times New Roman"/>
                <w:b w:val="0"/>
                <w:bCs/>
                <w:sz w:val="24"/>
                <w:szCs w:val="24"/>
                <w:highlight w:val="none"/>
                <w:u w:val="none"/>
                <w:lang w:val="en-US" w:eastAsia="zh-CN"/>
              </w:rPr>
              <w:t>公建公营敬老院拨付补助资金225万元。</w:t>
            </w:r>
          </w:p>
        </w:tc>
      </w:tr>
      <w:tr w14:paraId="4354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jc w:val="center"/>
        </w:trPr>
        <w:tc>
          <w:tcPr>
            <w:tcW w:w="198" w:type="pct"/>
            <w:tcBorders>
              <w:tl2br w:val="nil"/>
              <w:tr2bl w:val="nil"/>
            </w:tcBorders>
            <w:noWrap w:val="0"/>
            <w:vAlign w:val="center"/>
          </w:tcPr>
          <w:p w14:paraId="7BE64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4</w:t>
            </w:r>
          </w:p>
        </w:tc>
        <w:tc>
          <w:tcPr>
            <w:tcW w:w="259" w:type="pct"/>
            <w:tcBorders>
              <w:tl2br w:val="nil"/>
              <w:tr2bl w:val="nil"/>
            </w:tcBorders>
            <w:noWrap w:val="0"/>
            <w:vAlign w:val="center"/>
          </w:tcPr>
          <w:p w14:paraId="2ED17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1511" w:type="pct"/>
            <w:tcBorders>
              <w:tl2br w:val="nil"/>
              <w:tr2bl w:val="nil"/>
            </w:tcBorders>
            <w:noWrap w:val="0"/>
            <w:vAlign w:val="center"/>
          </w:tcPr>
          <w:p w14:paraId="5A98F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（6）加强城乡公益性公墓建设管理，推进不少于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w:t>
            </w:r>
            <w:r>
              <w:rPr>
                <w:rFonts w:hint="default" w:ascii="Times New Roman" w:hAnsi="Times New Roman" w:eastAsia="仿宋_GB2312" w:cs="Times New Roman"/>
                <w:b w:val="0"/>
                <w:bCs/>
                <w:color w:val="000000"/>
                <w:sz w:val="24"/>
                <w:szCs w:val="24"/>
                <w:highlight w:val="none"/>
                <w:u w:val="none"/>
                <w:lang w:val="en-US" w:eastAsia="zh-CN"/>
              </w:rPr>
              <w:t>个城乡公益性公墓新建、改扩建或配套设施改造以及提升管理维护水平。</w:t>
            </w:r>
          </w:p>
        </w:tc>
        <w:tc>
          <w:tcPr>
            <w:tcW w:w="3030" w:type="pct"/>
            <w:tcBorders>
              <w:tl2br w:val="nil"/>
              <w:tr2bl w:val="nil"/>
            </w:tcBorders>
            <w:noWrap w:val="0"/>
            <w:vAlign w:val="center"/>
          </w:tcPr>
          <w:p w14:paraId="1E6B6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w:t>
            </w:r>
            <w:r>
              <w:rPr>
                <w:rFonts w:hint="default" w:ascii="Times New Roman" w:hAnsi="Times New Roman" w:eastAsia="仿宋_GB2312" w:cs="Times New Roman"/>
                <w:color w:val="000000"/>
                <w:sz w:val="24"/>
                <w:highlight w:val="none"/>
                <w:lang w:eastAsia="zh-CN"/>
              </w:rPr>
              <w:t>全市</w:t>
            </w:r>
            <w:r>
              <w:rPr>
                <w:rFonts w:hint="default" w:ascii="Times New Roman" w:hAnsi="Times New Roman" w:eastAsia="仿宋_GB2312" w:cs="Times New Roman"/>
                <w:i w:val="0"/>
                <w:iCs w:val="0"/>
                <w:color w:val="000000"/>
                <w:sz w:val="24"/>
                <w:szCs w:val="24"/>
                <w:highlight w:val="none"/>
                <w:u w:val="none"/>
                <w:lang w:val="en-US" w:eastAsia="zh-CN"/>
              </w:rPr>
              <w:t>建成凤台县刘集城关镇、田家庵区曹庵镇、谢家集区望峰岗镇3个城乡公益性公墓</w:t>
            </w:r>
            <w:r>
              <w:rPr>
                <w:rFonts w:hint="default" w:ascii="Times New Roman" w:hAnsi="Times New Roman" w:eastAsia="仿宋_GB2312" w:cs="Times New Roman"/>
                <w:b w:val="0"/>
                <w:bCs/>
                <w:sz w:val="24"/>
                <w:szCs w:val="24"/>
                <w:highlight w:val="none"/>
                <w:u w:val="none"/>
                <w:lang w:val="en-US" w:eastAsia="zh-CN"/>
              </w:rPr>
              <w:t>。</w:t>
            </w:r>
          </w:p>
        </w:tc>
      </w:tr>
      <w:tr w14:paraId="1D4C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0" w:hRule="atLeast"/>
          <w:jc w:val="center"/>
        </w:trPr>
        <w:tc>
          <w:tcPr>
            <w:tcW w:w="198" w:type="pct"/>
            <w:vMerge w:val="restart"/>
            <w:tcBorders>
              <w:tl2br w:val="nil"/>
              <w:tr2bl w:val="nil"/>
            </w:tcBorders>
            <w:noWrap w:val="0"/>
            <w:vAlign w:val="center"/>
          </w:tcPr>
          <w:p w14:paraId="154CA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5</w:t>
            </w:r>
          </w:p>
        </w:tc>
        <w:tc>
          <w:tcPr>
            <w:tcW w:w="259" w:type="pct"/>
            <w:vMerge w:val="restart"/>
            <w:tcBorders>
              <w:tl2br w:val="nil"/>
              <w:tr2bl w:val="nil"/>
            </w:tcBorders>
            <w:noWrap w:val="0"/>
            <w:vAlign w:val="center"/>
          </w:tcPr>
          <w:p w14:paraId="09A3F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p w14:paraId="58D1F4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、市医保局</w:t>
            </w:r>
          </w:p>
        </w:tc>
        <w:tc>
          <w:tcPr>
            <w:tcW w:w="1511" w:type="pct"/>
            <w:tcBorders>
              <w:tl2br w:val="nil"/>
              <w:tr2bl w:val="nil"/>
            </w:tcBorders>
            <w:noWrap w:val="0"/>
            <w:vAlign w:val="center"/>
          </w:tcPr>
          <w:p w14:paraId="03E24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（7）精准做好城乡特困家庭筛查和兜底工作，特困人员基本生活标准按照不低于当地最低生活保障标准的1.3倍确定并按月足额发放。</w:t>
            </w:r>
          </w:p>
        </w:tc>
        <w:tc>
          <w:tcPr>
            <w:tcW w:w="3030" w:type="pct"/>
            <w:tcBorders>
              <w:tl2br w:val="nil"/>
              <w:tr2bl w:val="nil"/>
            </w:tcBorders>
            <w:noWrap w:val="0"/>
            <w:vAlign w:val="center"/>
          </w:tcPr>
          <w:p w14:paraId="39AB3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1.城市低保保障标准和农村分散供养特困人员保障金发放标准分别提高到每人每月842元和800元，增幅分别为7.4%和17.6%；城市低保标准位列全省第5，达到全省平均水平。</w:t>
            </w:r>
          </w:p>
          <w:p w14:paraId="1AC43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2.全年累计保障低保、特困等困难群众140万人次，发放各类救助金8.5亿元。</w:t>
            </w:r>
          </w:p>
          <w:p w14:paraId="5A112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3.市辖区住院护理保险变革赔付方式，采用“等值服务为主、现金赔付为辅”的运行模式，今年为607人次特困人员提供护理服务，服务累计时长5399天。</w:t>
            </w:r>
          </w:p>
          <w:p w14:paraId="6AE96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4.印发《推进“物质+服务”救助工作方案》，确定服务群体和服务项目。全市累计走访特殊困难群体7.5万人次，提供帮助年审、代买物资、打扫卫生、走访慰问等服务，共计帮扶2.8万人次，支出资金100.11万元。</w:t>
            </w:r>
          </w:p>
        </w:tc>
      </w:tr>
      <w:tr w14:paraId="248B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98" w:type="pct"/>
            <w:vMerge w:val="continue"/>
            <w:tcBorders>
              <w:tl2br w:val="nil"/>
              <w:tr2bl w:val="nil"/>
            </w:tcBorders>
            <w:noWrap w:val="0"/>
            <w:vAlign w:val="center"/>
          </w:tcPr>
          <w:p w14:paraId="179609CC">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1924172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625BA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（8）对困难群众参加城乡居民医保个人缴费部分给予分类资助。</w:t>
            </w:r>
          </w:p>
        </w:tc>
        <w:tc>
          <w:tcPr>
            <w:tcW w:w="3030" w:type="pct"/>
            <w:tcBorders>
              <w:tl2br w:val="nil"/>
              <w:tr2bl w:val="nil"/>
            </w:tcBorders>
            <w:noWrap w:val="0"/>
            <w:vAlign w:val="center"/>
          </w:tcPr>
          <w:p w14:paraId="19688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highlight w:val="none"/>
                <w:lang w:val="en-US" w:eastAsia="zh-CN"/>
              </w:rPr>
              <w:t>全年</w:t>
            </w:r>
            <w:r>
              <w:rPr>
                <w:rFonts w:hint="default" w:ascii="Times New Roman" w:hAnsi="Times New Roman" w:eastAsia="仿宋_GB2312" w:cs="Times New Roman"/>
                <w:color w:val="000000"/>
                <w:sz w:val="24"/>
                <w:highlight w:val="none"/>
              </w:rPr>
              <w:t>全市资助</w:t>
            </w:r>
            <w:r>
              <w:rPr>
                <w:rFonts w:hint="default" w:ascii="Times New Roman" w:hAnsi="Times New Roman" w:eastAsia="仿宋_GB2312" w:cs="Times New Roman"/>
                <w:color w:val="000000"/>
                <w:sz w:val="24"/>
                <w:highlight w:val="none"/>
                <w:lang w:val="en-US" w:eastAsia="zh-CN"/>
              </w:rPr>
              <w:t>73375人</w:t>
            </w:r>
            <w:r>
              <w:rPr>
                <w:rFonts w:hint="default" w:ascii="Times New Roman" w:hAnsi="Times New Roman" w:eastAsia="仿宋_GB2312" w:cs="Times New Roman"/>
                <w:color w:val="000000"/>
                <w:sz w:val="24"/>
                <w:highlight w:val="none"/>
              </w:rPr>
              <w:t>参保</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lang w:val="en-US" w:eastAsia="zh-CN"/>
              </w:rPr>
              <w:t>资助金额2667.51万元。</w:t>
            </w:r>
          </w:p>
        </w:tc>
      </w:tr>
      <w:tr w14:paraId="502D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98" w:type="pct"/>
            <w:vMerge w:val="restart"/>
            <w:tcBorders>
              <w:tl2br w:val="nil"/>
              <w:tr2bl w:val="nil"/>
            </w:tcBorders>
            <w:noWrap w:val="0"/>
            <w:vAlign w:val="center"/>
          </w:tcPr>
          <w:p w14:paraId="1A5E7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6</w:t>
            </w:r>
          </w:p>
        </w:tc>
        <w:tc>
          <w:tcPr>
            <w:tcW w:w="259" w:type="pct"/>
            <w:vMerge w:val="restart"/>
            <w:tcBorders>
              <w:tl2br w:val="nil"/>
              <w:tr2bl w:val="nil"/>
            </w:tcBorders>
            <w:noWrap w:val="0"/>
            <w:vAlign w:val="center"/>
          </w:tcPr>
          <w:p w14:paraId="10B981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p w14:paraId="3BE26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、市司法局</w:t>
            </w:r>
          </w:p>
        </w:tc>
        <w:tc>
          <w:tcPr>
            <w:tcW w:w="1511" w:type="pct"/>
            <w:tcBorders>
              <w:tl2br w:val="nil"/>
              <w:tr2bl w:val="nil"/>
            </w:tcBorders>
            <w:noWrap w:val="0"/>
            <w:vAlign w:val="center"/>
          </w:tcPr>
          <w:p w14:paraId="70D93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（9）开展困难职工帮扶救助，为困难职工提供生活救助、子女助学、医疗救助等不少于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150</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030" w:type="pct"/>
            <w:tcBorders>
              <w:tl2br w:val="nil"/>
              <w:tr2bl w:val="nil"/>
            </w:tcBorders>
            <w:noWrap w:val="0"/>
            <w:vAlign w:val="center"/>
          </w:tcPr>
          <w:p w14:paraId="2F5F3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全年救助在档困难职工202人次，发放各类帮扶救助资金143.8811万元。</w:t>
            </w:r>
          </w:p>
        </w:tc>
      </w:tr>
      <w:tr w14:paraId="6644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198" w:type="pct"/>
            <w:vMerge w:val="continue"/>
            <w:tcBorders>
              <w:tl2br w:val="nil"/>
              <w:tr2bl w:val="nil"/>
            </w:tcBorders>
            <w:noWrap w:val="0"/>
            <w:vAlign w:val="center"/>
          </w:tcPr>
          <w:p w14:paraId="0DD2C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6A4220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0"/>
            <w:vAlign w:val="center"/>
          </w:tcPr>
          <w:p w14:paraId="3E7BCC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（10）为困难群众提供法律援助不少于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4460</w:t>
            </w:r>
            <w:r>
              <w:rPr>
                <w:rFonts w:hint="default" w:ascii="Times New Roman" w:hAnsi="Times New Roman" w:eastAsia="仿宋_GB2312" w:cs="Times New Roman"/>
                <w:b w:val="0"/>
                <w:bCs/>
                <w:color w:val="000000"/>
                <w:sz w:val="24"/>
                <w:szCs w:val="24"/>
                <w:highlight w:val="none"/>
                <w:u w:val="none"/>
                <w:lang w:val="en-US" w:eastAsia="zh-CN"/>
              </w:rPr>
              <w:t>件。</w:t>
            </w:r>
          </w:p>
        </w:tc>
        <w:tc>
          <w:tcPr>
            <w:tcW w:w="3030" w:type="pct"/>
            <w:tcBorders>
              <w:tl2br w:val="nil"/>
              <w:tr2bl w:val="nil"/>
            </w:tcBorders>
            <w:noWrap w:val="0"/>
            <w:vAlign w:val="center"/>
          </w:tcPr>
          <w:p w14:paraId="17D6B6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全年全市办理</w:t>
            </w:r>
            <w:r>
              <w:rPr>
                <w:rFonts w:hint="default" w:ascii="Times New Roman" w:hAnsi="Times New Roman" w:eastAsia="仿宋_GB2312" w:cs="Times New Roman"/>
                <w:b w:val="0"/>
                <w:bCs/>
                <w:color w:val="000000"/>
                <w:sz w:val="24"/>
                <w:szCs w:val="24"/>
                <w:highlight w:val="none"/>
                <w:u w:val="none"/>
                <w:lang w:val="en-US" w:eastAsia="zh-CN"/>
              </w:rPr>
              <w:t>困难群众</w:t>
            </w:r>
            <w:r>
              <w:rPr>
                <w:rFonts w:hint="default" w:ascii="Times New Roman" w:hAnsi="Times New Roman" w:eastAsia="仿宋_GB2312" w:cs="Times New Roman"/>
                <w:i w:val="0"/>
                <w:iCs w:val="0"/>
                <w:color w:val="000000"/>
                <w:sz w:val="24"/>
                <w:szCs w:val="24"/>
                <w:highlight w:val="none"/>
                <w:u w:val="none"/>
                <w:lang w:val="en-US" w:eastAsia="zh-CN"/>
              </w:rPr>
              <w:t>法律援助案件4729件。</w:t>
            </w:r>
          </w:p>
        </w:tc>
      </w:tr>
      <w:tr w14:paraId="2D24A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98" w:type="pct"/>
            <w:tcBorders>
              <w:tl2br w:val="nil"/>
              <w:tr2bl w:val="nil"/>
            </w:tcBorders>
            <w:noWrap w:val="0"/>
            <w:vAlign w:val="center"/>
          </w:tcPr>
          <w:p w14:paraId="47F6B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7</w:t>
            </w:r>
          </w:p>
        </w:tc>
        <w:tc>
          <w:tcPr>
            <w:tcW w:w="259" w:type="pct"/>
            <w:tcBorders>
              <w:tl2br w:val="nil"/>
              <w:tr2bl w:val="nil"/>
            </w:tcBorders>
            <w:noWrap w:val="0"/>
            <w:vAlign w:val="center"/>
          </w:tcPr>
          <w:p w14:paraId="44988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511" w:type="pct"/>
            <w:tcBorders>
              <w:tl2br w:val="nil"/>
              <w:tr2bl w:val="nil"/>
            </w:tcBorders>
            <w:noWrap w:val="0"/>
            <w:vAlign w:val="center"/>
          </w:tcPr>
          <w:p w14:paraId="1EA41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（11）实施困难残疾人康复工程，为困难残疾人提供康复救助不少于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7031</w:t>
            </w:r>
            <w:r>
              <w:rPr>
                <w:rFonts w:hint="default" w:ascii="Times New Roman" w:hAnsi="Times New Roman" w:eastAsia="仿宋_GB2312" w:cs="Times New Roman"/>
                <w:b w:val="0"/>
                <w:bCs/>
                <w:color w:val="000000"/>
                <w:sz w:val="24"/>
                <w:szCs w:val="24"/>
                <w:highlight w:val="none"/>
                <w:u w:val="none"/>
                <w:lang w:val="en-US" w:eastAsia="zh-CN"/>
              </w:rPr>
              <w:t>名。</w:t>
            </w:r>
          </w:p>
        </w:tc>
        <w:tc>
          <w:tcPr>
            <w:tcW w:w="3030" w:type="pct"/>
            <w:tcBorders>
              <w:tl2br w:val="nil"/>
              <w:tr2bl w:val="nil"/>
            </w:tcBorders>
            <w:noWrap w:val="0"/>
            <w:vAlign w:val="center"/>
          </w:tcPr>
          <w:p w14:paraId="7EB9A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w:t>
            </w:r>
            <w:r>
              <w:rPr>
                <w:rFonts w:hint="default" w:ascii="Times New Roman" w:hAnsi="Times New Roman" w:eastAsia="仿宋_GB2312" w:cs="Times New Roman"/>
                <w:b w:val="0"/>
                <w:bCs/>
                <w:color w:val="000000"/>
                <w:sz w:val="24"/>
                <w:szCs w:val="24"/>
                <w:highlight w:val="none"/>
                <w:u w:val="none"/>
                <w:lang w:val="en-US" w:eastAsia="zh-CN"/>
              </w:rPr>
              <w:t>为困难残疾人提供康复救助10393人。</w:t>
            </w:r>
          </w:p>
        </w:tc>
      </w:tr>
      <w:tr w14:paraId="004CF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198" w:type="pct"/>
            <w:tcBorders>
              <w:tl2br w:val="nil"/>
              <w:tr2bl w:val="nil"/>
            </w:tcBorders>
            <w:noWrap w:val="0"/>
            <w:vAlign w:val="center"/>
          </w:tcPr>
          <w:p w14:paraId="0C76D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8</w:t>
            </w:r>
          </w:p>
        </w:tc>
        <w:tc>
          <w:tcPr>
            <w:tcW w:w="259" w:type="pct"/>
            <w:tcBorders>
              <w:tl2br w:val="nil"/>
              <w:tr2bl w:val="nil"/>
            </w:tcBorders>
            <w:noWrap w:val="0"/>
            <w:vAlign w:val="center"/>
          </w:tcPr>
          <w:p w14:paraId="1426A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市退役军人事务局</w:t>
            </w:r>
          </w:p>
        </w:tc>
        <w:tc>
          <w:tcPr>
            <w:tcW w:w="1511" w:type="pct"/>
            <w:tcBorders>
              <w:tl2br w:val="nil"/>
              <w:tr2bl w:val="nil"/>
            </w:tcBorders>
            <w:noWrap w:val="0"/>
            <w:vAlign w:val="center"/>
          </w:tcPr>
          <w:p w14:paraId="010749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（12）强化困难退役军人服务保障，帮扶困难退役军人和军属烈属</w:t>
            </w:r>
            <w:r>
              <w:rPr>
                <w:rFonts w:hint="default" w:ascii="Times New Roman" w:hAnsi="Times New Roman" w:eastAsia="仿宋_GB2312" w:cs="Times New Roman"/>
                <w:b w:val="0"/>
                <w:bCs/>
                <w:strike w:val="0"/>
                <w:dstrike w:val="0"/>
                <w:color w:val="000000"/>
                <w:sz w:val="24"/>
                <w:szCs w:val="24"/>
                <w:highlight w:val="none"/>
                <w:u w:val="none"/>
                <w:lang w:val="en-US" w:eastAsia="zh-CN"/>
              </w:rPr>
              <w:t>784</w:t>
            </w:r>
            <w:r>
              <w:rPr>
                <w:rFonts w:hint="default" w:ascii="Times New Roman" w:hAnsi="Times New Roman" w:eastAsia="仿宋_GB2312" w:cs="Times New Roman"/>
                <w:b w:val="0"/>
                <w:bCs/>
                <w:color w:val="000000"/>
                <w:sz w:val="24"/>
                <w:szCs w:val="24"/>
                <w:highlight w:val="none"/>
                <w:u w:val="none"/>
                <w:lang w:val="en-US" w:eastAsia="zh-CN"/>
              </w:rPr>
              <w:t>人。</w:t>
            </w:r>
          </w:p>
        </w:tc>
        <w:tc>
          <w:tcPr>
            <w:tcW w:w="3030" w:type="pct"/>
            <w:tcBorders>
              <w:tl2br w:val="nil"/>
              <w:tr2bl w:val="nil"/>
            </w:tcBorders>
            <w:noWrap w:val="0"/>
            <w:vAlign w:val="center"/>
          </w:tcPr>
          <w:p w14:paraId="3A5394F7">
            <w:pPr>
              <w:keepNext w:val="0"/>
              <w:keepLines w:val="0"/>
              <w:pageBreakBefore w:val="0"/>
              <w:widowControl/>
              <w:suppressLineNumbers w:val="0"/>
              <w:suppressAutoHyphens/>
              <w:kinsoku/>
              <w:wordWrap/>
              <w:overflowPunct/>
              <w:topLinePunct w:val="0"/>
              <w:autoSpaceDE/>
              <w:autoSpaceDN/>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w:t>
            </w:r>
            <w:r>
              <w:rPr>
                <w:rFonts w:hint="default" w:ascii="Times New Roman" w:hAnsi="Times New Roman" w:eastAsia="仿宋_GB2312" w:cs="Times New Roman"/>
                <w:color w:val="000000"/>
                <w:sz w:val="24"/>
                <w:szCs w:val="24"/>
                <w:highlight w:val="none"/>
                <w:u w:val="none"/>
                <w:lang w:val="en-US" w:eastAsia="zh-CN" w:bidi="ar-SA"/>
              </w:rPr>
              <w:t>为784名困难退役军人和军属烈属解决生活、医疗、就业等问题。</w:t>
            </w:r>
          </w:p>
        </w:tc>
      </w:tr>
      <w:tr w14:paraId="7591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198" w:type="pct"/>
            <w:tcBorders>
              <w:tl2br w:val="nil"/>
              <w:tr2bl w:val="nil"/>
            </w:tcBorders>
            <w:noWrap w:val="0"/>
            <w:vAlign w:val="center"/>
          </w:tcPr>
          <w:p w14:paraId="67D26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9</w:t>
            </w:r>
          </w:p>
        </w:tc>
        <w:tc>
          <w:tcPr>
            <w:tcW w:w="259" w:type="pct"/>
            <w:tcBorders>
              <w:tl2br w:val="nil"/>
              <w:tr2bl w:val="nil"/>
            </w:tcBorders>
            <w:noWrap w:val="0"/>
            <w:vAlign w:val="center"/>
          </w:tcPr>
          <w:p w14:paraId="1C882A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5116D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1511" w:type="pct"/>
            <w:tcBorders>
              <w:tl2br w:val="nil"/>
              <w:tr2bl w:val="nil"/>
            </w:tcBorders>
            <w:noWrap w:val="0"/>
            <w:vAlign w:val="center"/>
          </w:tcPr>
          <w:p w14:paraId="1E488B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（13）实施家庭经济困难学生资助，资助家庭经济困难学生</w:t>
            </w:r>
            <w:r>
              <w:rPr>
                <w:rFonts w:hint="default" w:ascii="Times New Roman" w:hAnsi="Times New Roman" w:eastAsia="仿宋_GB2312" w:cs="Times New Roman"/>
                <w:b w:val="0"/>
                <w:bCs/>
                <w:strike w:val="0"/>
                <w:dstrike w:val="0"/>
                <w:color w:val="000000"/>
                <w:sz w:val="24"/>
                <w:szCs w:val="24"/>
                <w:highlight w:val="none"/>
                <w:u w:val="none"/>
                <w:lang w:val="en-US" w:eastAsia="zh-CN"/>
              </w:rPr>
              <w:t>7万</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030" w:type="pct"/>
            <w:tcBorders>
              <w:tl2br w:val="nil"/>
              <w:tr2bl w:val="nil"/>
            </w:tcBorders>
            <w:noWrap w:val="0"/>
            <w:vAlign w:val="center"/>
          </w:tcPr>
          <w:p w14:paraId="6E280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全年资助困难学生8.8万</w:t>
            </w:r>
            <w:r>
              <w:rPr>
                <w:rFonts w:hint="default" w:ascii="Times New Roman" w:hAnsi="Times New Roman" w:eastAsia="仿宋_GB2312" w:cs="Times New Roman"/>
                <w:i w:val="0"/>
                <w:iCs w:val="0"/>
                <w:color w:val="000000"/>
                <w:sz w:val="24"/>
                <w:szCs w:val="24"/>
                <w:highlight w:val="none"/>
                <w:u w:val="none"/>
                <w:lang w:eastAsia="zh-CN"/>
              </w:rPr>
              <w:t>人次，</w:t>
            </w:r>
            <w:r>
              <w:rPr>
                <w:rFonts w:hint="default" w:ascii="Times New Roman" w:hAnsi="Times New Roman" w:eastAsia="仿宋_GB2312" w:cs="Times New Roman"/>
                <w:i w:val="0"/>
                <w:iCs w:val="0"/>
                <w:color w:val="000000"/>
                <w:sz w:val="24"/>
                <w:szCs w:val="24"/>
                <w:highlight w:val="none"/>
                <w:u w:val="none"/>
                <w:lang w:val="en-US" w:eastAsia="zh-CN"/>
              </w:rPr>
              <w:t>发放资助资金10422.8</w:t>
            </w:r>
            <w:r>
              <w:rPr>
                <w:rFonts w:hint="default" w:ascii="Times New Roman" w:hAnsi="Times New Roman" w:eastAsia="仿宋_GB2312" w:cs="Times New Roman"/>
                <w:i w:val="0"/>
                <w:iCs w:val="0"/>
                <w:color w:val="000000"/>
                <w:sz w:val="24"/>
                <w:szCs w:val="24"/>
                <w:highlight w:val="none"/>
                <w:u w:val="none"/>
                <w:lang w:eastAsia="zh-CN"/>
              </w:rPr>
              <w:t>万元</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7033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98" w:type="pct"/>
            <w:vMerge w:val="restart"/>
            <w:tcBorders>
              <w:tl2br w:val="nil"/>
              <w:tr2bl w:val="nil"/>
            </w:tcBorders>
            <w:noWrap w:val="0"/>
            <w:vAlign w:val="center"/>
          </w:tcPr>
          <w:p w14:paraId="3C445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10</w:t>
            </w:r>
          </w:p>
        </w:tc>
        <w:tc>
          <w:tcPr>
            <w:tcW w:w="259" w:type="pct"/>
            <w:vMerge w:val="restart"/>
            <w:tcBorders>
              <w:tl2br w:val="nil"/>
              <w:tr2bl w:val="nil"/>
            </w:tcBorders>
            <w:noWrap w:val="0"/>
            <w:vAlign w:val="center"/>
          </w:tcPr>
          <w:p w14:paraId="78B8E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511" w:type="pct"/>
            <w:tcBorders>
              <w:tl2br w:val="nil"/>
              <w:tr2bl w:val="nil"/>
            </w:tcBorders>
            <w:noWrap w:val="0"/>
            <w:vAlign w:val="center"/>
          </w:tcPr>
          <w:p w14:paraId="68B4DF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（14）推动实现残疾人较高质量就业，为有需求的残疾人开展职业技能培训和创业培训</w:t>
            </w:r>
            <w:r>
              <w:rPr>
                <w:rFonts w:hint="default" w:ascii="Times New Roman" w:hAnsi="Times New Roman" w:eastAsia="仿宋_GB2312" w:cs="Times New Roman"/>
                <w:b w:val="0"/>
                <w:bCs/>
                <w:strike w:val="0"/>
                <w:dstrike w:val="0"/>
                <w:color w:val="000000"/>
                <w:sz w:val="24"/>
                <w:szCs w:val="24"/>
                <w:highlight w:val="none"/>
                <w:u w:val="none"/>
                <w:lang w:val="en-US" w:eastAsia="zh-CN"/>
              </w:rPr>
              <w:t>647</w:t>
            </w:r>
            <w:r>
              <w:rPr>
                <w:rFonts w:hint="default" w:ascii="Times New Roman" w:hAnsi="Times New Roman" w:eastAsia="仿宋_GB2312" w:cs="Times New Roman"/>
                <w:b w:val="0"/>
                <w:bCs/>
                <w:color w:val="000000"/>
                <w:kern w:val="2"/>
                <w:sz w:val="24"/>
                <w:szCs w:val="24"/>
                <w:highlight w:val="none"/>
                <w:u w:val="none"/>
                <w:lang w:val="en-US" w:eastAsia="zh-CN" w:bidi="ar-SA"/>
              </w:rPr>
              <w:t>人次。</w:t>
            </w:r>
          </w:p>
        </w:tc>
        <w:tc>
          <w:tcPr>
            <w:tcW w:w="3030" w:type="pct"/>
            <w:tcBorders>
              <w:tl2br w:val="nil"/>
              <w:tr2bl w:val="nil"/>
            </w:tcBorders>
            <w:noWrap w:val="0"/>
            <w:vAlign w:val="center"/>
          </w:tcPr>
          <w:p w14:paraId="46120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w:t>
            </w:r>
            <w:r>
              <w:rPr>
                <w:rFonts w:hint="default" w:ascii="Times New Roman" w:hAnsi="Times New Roman" w:eastAsia="仿宋_GB2312" w:cs="Times New Roman"/>
                <w:b w:val="0"/>
                <w:bCs/>
                <w:sz w:val="24"/>
                <w:szCs w:val="24"/>
                <w:highlight w:val="none"/>
                <w:u w:val="none"/>
                <w:lang w:val="en-US" w:eastAsia="zh-CN"/>
              </w:rPr>
              <w:t>为有需求的残疾人开展职业技能培训和创业培训983人次。</w:t>
            </w:r>
          </w:p>
        </w:tc>
      </w:tr>
      <w:tr w14:paraId="372FF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98" w:type="pct"/>
            <w:vMerge w:val="continue"/>
            <w:tcBorders>
              <w:tl2br w:val="nil"/>
              <w:tr2bl w:val="nil"/>
            </w:tcBorders>
            <w:noWrap w:val="0"/>
            <w:vAlign w:val="center"/>
          </w:tcPr>
          <w:p w14:paraId="2031FAA0">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5D434F2C">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3297C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（15）实施“阳光家园计划”，开展就业年龄段智力、精神和重度肢体残疾人托养服务不少于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700</w:t>
            </w:r>
            <w:r>
              <w:rPr>
                <w:rFonts w:hint="default" w:ascii="Times New Roman" w:hAnsi="Times New Roman" w:eastAsia="仿宋_GB2312" w:cs="Times New Roman"/>
                <w:b w:val="0"/>
                <w:bCs/>
                <w:color w:val="000000"/>
                <w:kern w:val="2"/>
                <w:sz w:val="24"/>
                <w:szCs w:val="24"/>
                <w:highlight w:val="none"/>
                <w:u w:val="none"/>
                <w:lang w:val="en-US" w:eastAsia="zh-CN" w:bidi="ar-SA"/>
              </w:rPr>
              <w:t>人。</w:t>
            </w:r>
          </w:p>
        </w:tc>
        <w:tc>
          <w:tcPr>
            <w:tcW w:w="3030" w:type="pct"/>
            <w:tcBorders>
              <w:tl2br w:val="nil"/>
              <w:tr2bl w:val="nil"/>
            </w:tcBorders>
            <w:noWrap w:val="0"/>
            <w:vAlign w:val="center"/>
          </w:tcPr>
          <w:p w14:paraId="06395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w:t>
            </w:r>
            <w:r>
              <w:rPr>
                <w:rFonts w:hint="default" w:ascii="Times New Roman" w:hAnsi="Times New Roman" w:eastAsia="仿宋_GB2312" w:cs="Times New Roman"/>
                <w:b w:val="0"/>
                <w:bCs/>
                <w:sz w:val="24"/>
                <w:szCs w:val="24"/>
                <w:highlight w:val="none"/>
                <w:u w:val="none"/>
                <w:lang w:val="en-US" w:eastAsia="zh-CN"/>
              </w:rPr>
              <w:t>为746名残疾人提供托养服务。</w:t>
            </w:r>
          </w:p>
        </w:tc>
      </w:tr>
      <w:tr w14:paraId="3B8A9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198" w:type="pct"/>
            <w:tcBorders>
              <w:tl2br w:val="nil"/>
              <w:tr2bl w:val="nil"/>
            </w:tcBorders>
            <w:noWrap w:val="0"/>
            <w:vAlign w:val="center"/>
          </w:tcPr>
          <w:p w14:paraId="1AA0F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11</w:t>
            </w:r>
          </w:p>
        </w:tc>
        <w:tc>
          <w:tcPr>
            <w:tcW w:w="259" w:type="pct"/>
            <w:tcBorders>
              <w:tl2br w:val="nil"/>
              <w:tr2bl w:val="nil"/>
            </w:tcBorders>
            <w:noWrap w:val="0"/>
            <w:vAlign w:val="center"/>
          </w:tcPr>
          <w:p w14:paraId="05A48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511" w:type="pct"/>
            <w:tcBorders>
              <w:tl2br w:val="nil"/>
              <w:tr2bl w:val="nil"/>
            </w:tcBorders>
            <w:noWrap w:val="0"/>
            <w:vAlign w:val="center"/>
          </w:tcPr>
          <w:p w14:paraId="443735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（16）持续优化无障碍环境，为</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kern w:val="2"/>
                <w:sz w:val="24"/>
                <w:szCs w:val="24"/>
                <w:highlight w:val="none"/>
                <w:u w:val="none"/>
                <w:lang w:val="en-US" w:eastAsia="zh-CN" w:bidi="ar-SA"/>
              </w:rPr>
              <w:t>户困难重度残疾人家庭实施无障碍改造。</w:t>
            </w:r>
          </w:p>
        </w:tc>
        <w:tc>
          <w:tcPr>
            <w:tcW w:w="3030" w:type="pct"/>
            <w:tcBorders>
              <w:tl2br w:val="nil"/>
              <w:tr2bl w:val="nil"/>
            </w:tcBorders>
            <w:noWrap w:val="0"/>
            <w:vAlign w:val="center"/>
          </w:tcPr>
          <w:p w14:paraId="3F7BDD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color w:val="000000"/>
                <w:kern w:val="2"/>
                <w:sz w:val="24"/>
                <w:szCs w:val="24"/>
                <w:highlight w:val="none"/>
                <w:u w:val="none"/>
                <w:lang w:val="en-US" w:eastAsia="zh-CN" w:bidi="ar-SA"/>
              </w:rPr>
              <w:t>全年为</w:t>
            </w:r>
            <w:r>
              <w:rPr>
                <w:rFonts w:hint="default" w:ascii="Times New Roman" w:hAnsi="Times New Roman" w:eastAsia="仿宋_GB2312" w:cs="Times New Roman"/>
                <w:b w:val="0"/>
                <w:bCs/>
                <w:strike w:val="0"/>
                <w:dstrike w:val="0"/>
                <w:color w:val="000000"/>
                <w:sz w:val="24"/>
                <w:szCs w:val="24"/>
                <w:highlight w:val="none"/>
                <w:u w:val="none"/>
                <w:lang w:val="en-US" w:eastAsia="zh-CN"/>
              </w:rPr>
              <w:t>807</w:t>
            </w:r>
            <w:r>
              <w:rPr>
                <w:rFonts w:hint="default" w:ascii="Times New Roman" w:hAnsi="Times New Roman" w:eastAsia="仿宋_GB2312" w:cs="Times New Roman"/>
                <w:b w:val="0"/>
                <w:bCs/>
                <w:color w:val="000000"/>
                <w:kern w:val="2"/>
                <w:sz w:val="24"/>
                <w:szCs w:val="24"/>
                <w:highlight w:val="none"/>
                <w:u w:val="none"/>
                <w:lang w:val="en-US" w:eastAsia="zh-CN" w:bidi="ar-SA"/>
              </w:rPr>
              <w:t>户困难重度残疾人家庭实施无障碍改造</w:t>
            </w:r>
            <w:r>
              <w:rPr>
                <w:rFonts w:hint="default" w:ascii="Times New Roman" w:hAnsi="Times New Roman" w:eastAsia="仿宋_GB2312" w:cs="Times New Roman"/>
                <w:b w:val="0"/>
                <w:bCs/>
                <w:color w:val="000000"/>
                <w:sz w:val="24"/>
                <w:szCs w:val="24"/>
                <w:highlight w:val="none"/>
                <w:u w:val="none"/>
                <w:lang w:val="en-US" w:eastAsia="zh-CN"/>
              </w:rPr>
              <w:t>。</w:t>
            </w:r>
          </w:p>
        </w:tc>
      </w:tr>
      <w:tr w14:paraId="42E65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198" w:type="pct"/>
            <w:vMerge w:val="restart"/>
            <w:tcBorders>
              <w:tl2br w:val="nil"/>
              <w:tr2bl w:val="nil"/>
            </w:tcBorders>
            <w:noWrap w:val="0"/>
            <w:vAlign w:val="center"/>
          </w:tcPr>
          <w:p w14:paraId="58F56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12</w:t>
            </w:r>
          </w:p>
        </w:tc>
        <w:tc>
          <w:tcPr>
            <w:tcW w:w="259" w:type="pct"/>
            <w:vMerge w:val="restart"/>
            <w:tcBorders>
              <w:tl2br w:val="nil"/>
              <w:tr2bl w:val="nil"/>
            </w:tcBorders>
            <w:noWrap w:val="0"/>
            <w:vAlign w:val="center"/>
          </w:tcPr>
          <w:p w14:paraId="4758E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1E713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511" w:type="pct"/>
            <w:tcBorders>
              <w:tl2br w:val="nil"/>
              <w:tr2bl w:val="nil"/>
            </w:tcBorders>
            <w:noWrap/>
            <w:vAlign w:val="center"/>
          </w:tcPr>
          <w:p w14:paraId="097D4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（17）实施安心托幼行动，新增托位</w:t>
            </w:r>
            <w:r>
              <w:rPr>
                <w:rFonts w:hint="default" w:ascii="Times New Roman" w:hAnsi="Times New Roman" w:eastAsia="仿宋_GB2312" w:cs="Times New Roman"/>
                <w:b w:val="0"/>
                <w:bCs/>
                <w:strike w:val="0"/>
                <w:dstrike w:val="0"/>
                <w:color w:val="000000"/>
                <w:sz w:val="24"/>
                <w:szCs w:val="24"/>
                <w:highlight w:val="none"/>
                <w:u w:val="none"/>
                <w:lang w:val="en-US" w:eastAsia="zh-CN"/>
              </w:rPr>
              <w:t>3000</w:t>
            </w:r>
            <w:r>
              <w:rPr>
                <w:rFonts w:hint="default" w:ascii="Times New Roman" w:hAnsi="Times New Roman" w:eastAsia="仿宋_GB2312" w:cs="Times New Roman"/>
                <w:b w:val="0"/>
                <w:bCs/>
                <w:color w:val="000000"/>
                <w:sz w:val="24"/>
                <w:szCs w:val="24"/>
                <w:highlight w:val="none"/>
                <w:u w:val="none"/>
                <w:lang w:val="en-US" w:eastAsia="zh-CN"/>
              </w:rPr>
              <w:t>个，千人口托位达</w:t>
            </w:r>
            <w:r>
              <w:rPr>
                <w:rFonts w:hint="default" w:ascii="Times New Roman" w:hAnsi="Times New Roman" w:eastAsia="仿宋_GB2312" w:cs="Times New Roman"/>
                <w:b w:val="0"/>
                <w:bCs/>
                <w:strike w:val="0"/>
                <w:dstrike w:val="0"/>
                <w:color w:val="000000"/>
                <w:sz w:val="24"/>
                <w:szCs w:val="24"/>
                <w:highlight w:val="none"/>
                <w:u w:val="none"/>
                <w:lang w:val="en-US" w:eastAsia="zh-CN"/>
              </w:rPr>
              <w:t>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030" w:type="pct"/>
            <w:tcBorders>
              <w:tl2br w:val="nil"/>
              <w:tr2bl w:val="nil"/>
            </w:tcBorders>
            <w:noWrap w:val="0"/>
            <w:vAlign w:val="center"/>
          </w:tcPr>
          <w:p w14:paraId="35766D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color w:val="auto"/>
                <w:kern w:val="2"/>
                <w:sz w:val="24"/>
                <w:szCs w:val="24"/>
                <w:highlight w:val="none"/>
                <w:u w:val="none"/>
                <w:lang w:val="en-US" w:eastAsia="zh-CN" w:bidi="ar-SA"/>
              </w:rPr>
            </w:pPr>
            <w:r>
              <w:rPr>
                <w:rFonts w:hint="default" w:ascii="Times New Roman" w:hAnsi="Times New Roman" w:eastAsia="仿宋_GB2312" w:cs="Times New Roman"/>
                <w:b w:val="0"/>
                <w:bCs/>
                <w:sz w:val="24"/>
                <w:szCs w:val="24"/>
                <w:highlight w:val="none"/>
                <w:u w:val="none"/>
                <w:lang w:val="en-US" w:eastAsia="zh-CN"/>
              </w:rPr>
              <w:t>全年全市新增托位3</w:t>
            </w:r>
            <w:r>
              <w:rPr>
                <w:rFonts w:hint="eastAsia" w:ascii="Times New Roman" w:hAnsi="Times New Roman" w:eastAsia="仿宋_GB2312" w:cs="Times New Roman"/>
                <w:b w:val="0"/>
                <w:bCs/>
                <w:sz w:val="24"/>
                <w:szCs w:val="24"/>
                <w:highlight w:val="none"/>
                <w:u w:val="none"/>
                <w:lang w:val="en-US" w:eastAsia="zh-CN"/>
              </w:rPr>
              <w:t>22</w:t>
            </w:r>
            <w:r>
              <w:rPr>
                <w:rFonts w:hint="default" w:ascii="Times New Roman" w:hAnsi="Times New Roman" w:eastAsia="仿宋_GB2312" w:cs="Times New Roman"/>
                <w:b w:val="0"/>
                <w:bCs/>
                <w:sz w:val="24"/>
                <w:szCs w:val="24"/>
                <w:highlight w:val="none"/>
                <w:u w:val="none"/>
                <w:lang w:val="en-US" w:eastAsia="zh-CN"/>
              </w:rPr>
              <w:t>8个，千人口托位数达5.2个。</w:t>
            </w:r>
          </w:p>
        </w:tc>
      </w:tr>
      <w:tr w14:paraId="7EEF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8" w:type="pct"/>
            <w:vMerge w:val="continue"/>
            <w:tcBorders>
              <w:tl2br w:val="nil"/>
              <w:tr2bl w:val="nil"/>
            </w:tcBorders>
            <w:noWrap w:val="0"/>
            <w:vAlign w:val="center"/>
          </w:tcPr>
          <w:p w14:paraId="287CDB32">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54970425">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ign w:val="center"/>
          </w:tcPr>
          <w:p w14:paraId="3B287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（18）实现各县（区）不少于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val="en-US" w:eastAsia="zh-CN"/>
              </w:rPr>
              <w:t>的幼儿园开设2—3岁托班；</w:t>
            </w:r>
          </w:p>
        </w:tc>
        <w:tc>
          <w:tcPr>
            <w:tcW w:w="3030" w:type="pct"/>
            <w:tcBorders>
              <w:tl2br w:val="nil"/>
              <w:tr2bl w:val="nil"/>
            </w:tcBorders>
            <w:noWrap w:val="0"/>
            <w:vAlign w:val="center"/>
          </w:tcPr>
          <w:p w14:paraId="208E57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全年全市38.29%的幼儿园取得开设2-3岁托班资质。</w:t>
            </w:r>
          </w:p>
        </w:tc>
      </w:tr>
      <w:tr w14:paraId="719EA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98" w:type="pct"/>
            <w:vMerge w:val="continue"/>
            <w:tcBorders>
              <w:tl2br w:val="nil"/>
              <w:tr2bl w:val="nil"/>
            </w:tcBorders>
            <w:noWrap w:val="0"/>
            <w:vAlign w:val="center"/>
          </w:tcPr>
          <w:p w14:paraId="2BA2A1CE">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40DEBEDB">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ign w:val="center"/>
          </w:tcPr>
          <w:p w14:paraId="433E7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（19）公办园在园幼儿占比达</w:t>
            </w:r>
            <w:r>
              <w:rPr>
                <w:rFonts w:hint="default" w:ascii="Times New Roman" w:hAnsi="Times New Roman" w:eastAsia="仿宋_GB2312" w:cs="Times New Roman"/>
                <w:b w:val="0"/>
                <w:bCs/>
                <w:strike w:val="0"/>
                <w:dstrike w:val="0"/>
                <w:color w:val="000000"/>
                <w:sz w:val="24"/>
                <w:szCs w:val="24"/>
                <w:highlight w:val="none"/>
                <w:u w:val="none"/>
                <w:lang w:val="en-US" w:eastAsia="zh-CN"/>
              </w:rPr>
              <w:t>70%</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030" w:type="pct"/>
            <w:tcBorders>
              <w:tl2br w:val="nil"/>
              <w:tr2bl w:val="nil"/>
            </w:tcBorders>
            <w:noWrap w:val="0"/>
            <w:vAlign w:val="center"/>
          </w:tcPr>
          <w:p w14:paraId="695AAC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全年全市公办园在园幼儿占比为71.4%。</w:t>
            </w:r>
          </w:p>
        </w:tc>
      </w:tr>
      <w:tr w14:paraId="1B8A7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98" w:type="pct"/>
            <w:vMerge w:val="restart"/>
            <w:tcBorders>
              <w:tl2br w:val="nil"/>
              <w:tr2bl w:val="nil"/>
            </w:tcBorders>
            <w:noWrap w:val="0"/>
            <w:vAlign w:val="center"/>
          </w:tcPr>
          <w:p w14:paraId="175D3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13</w:t>
            </w:r>
          </w:p>
        </w:tc>
        <w:tc>
          <w:tcPr>
            <w:tcW w:w="259" w:type="pct"/>
            <w:vMerge w:val="restart"/>
            <w:tcBorders>
              <w:tl2br w:val="nil"/>
              <w:tr2bl w:val="nil"/>
            </w:tcBorders>
            <w:noWrap w:val="0"/>
            <w:vAlign w:val="center"/>
          </w:tcPr>
          <w:p w14:paraId="73456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511" w:type="pct"/>
            <w:tcBorders>
              <w:tl2br w:val="nil"/>
              <w:tr2bl w:val="nil"/>
            </w:tcBorders>
            <w:noWrap/>
            <w:vAlign w:val="center"/>
          </w:tcPr>
          <w:p w14:paraId="37BC4E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（20）改善义务教育学校办学条件，实施教室光环境达标工程，对</w:t>
            </w:r>
            <w:r>
              <w:rPr>
                <w:rFonts w:hint="default" w:ascii="Times New Roman" w:hAnsi="Times New Roman" w:eastAsia="仿宋_GB2312" w:cs="Times New Roman"/>
                <w:b w:val="0"/>
                <w:bCs/>
                <w:strike w:val="0"/>
                <w:dstrike w:val="0"/>
                <w:color w:val="000000"/>
                <w:sz w:val="24"/>
                <w:szCs w:val="24"/>
                <w:highlight w:val="none"/>
                <w:u w:val="none"/>
                <w:lang w:val="en-US" w:eastAsia="zh-CN"/>
              </w:rPr>
              <w:t>129</w:t>
            </w:r>
            <w:r>
              <w:rPr>
                <w:rFonts w:hint="default" w:ascii="Times New Roman" w:hAnsi="Times New Roman" w:eastAsia="仿宋_GB2312" w:cs="Times New Roman"/>
                <w:b w:val="0"/>
                <w:bCs/>
                <w:color w:val="000000"/>
                <w:sz w:val="24"/>
                <w:szCs w:val="24"/>
                <w:highlight w:val="none"/>
                <w:u w:val="none"/>
                <w:lang w:val="en-US" w:eastAsia="zh-CN"/>
              </w:rPr>
              <w:t>间中小学教室光环境进行改造。</w:t>
            </w:r>
          </w:p>
        </w:tc>
        <w:tc>
          <w:tcPr>
            <w:tcW w:w="3030" w:type="pct"/>
            <w:tcBorders>
              <w:tl2br w:val="nil"/>
              <w:tr2bl w:val="nil"/>
            </w:tcBorders>
            <w:noWrap w:val="0"/>
            <w:vAlign w:val="center"/>
          </w:tcPr>
          <w:p w14:paraId="27E03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w:t>
            </w:r>
            <w:r>
              <w:rPr>
                <w:rFonts w:hint="default" w:ascii="Times New Roman" w:hAnsi="Times New Roman" w:eastAsia="仿宋_GB2312" w:cs="Times New Roman"/>
                <w:i w:val="0"/>
                <w:iCs w:val="0"/>
                <w:color w:val="auto"/>
                <w:sz w:val="24"/>
                <w:szCs w:val="24"/>
                <w:highlight w:val="none"/>
                <w:u w:val="none"/>
                <w:lang w:val="en-US" w:eastAsia="zh-CN"/>
              </w:rPr>
              <w:t>完成129间中小学教室光环境改造。</w:t>
            </w:r>
          </w:p>
        </w:tc>
      </w:tr>
      <w:tr w14:paraId="4976C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98" w:type="pct"/>
            <w:vMerge w:val="continue"/>
            <w:tcBorders>
              <w:tl2br w:val="nil"/>
              <w:tr2bl w:val="nil"/>
            </w:tcBorders>
            <w:noWrap w:val="0"/>
            <w:vAlign w:val="center"/>
          </w:tcPr>
          <w:p w14:paraId="1F4D5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14C5B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07DBB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（21）实施中小学生阳光体育促进行动，义务教育阶段学生每天综合体育活动时间不低于</w:t>
            </w:r>
            <w:r>
              <w:rPr>
                <w:rFonts w:hint="default" w:ascii="Times New Roman" w:hAnsi="Times New Roman" w:eastAsia="仿宋_GB2312" w:cs="Times New Roman"/>
                <w:b w:val="0"/>
                <w:bCs/>
                <w:strike w:val="0"/>
                <w:dstrike w:val="0"/>
                <w:color w:val="000000"/>
                <w:sz w:val="24"/>
                <w:szCs w:val="24"/>
                <w:highlight w:val="none"/>
                <w:u w:val="none"/>
                <w:lang w:val="en-US" w:eastAsia="zh-CN"/>
              </w:rPr>
              <w:t>2</w:t>
            </w:r>
            <w:r>
              <w:rPr>
                <w:rFonts w:hint="default" w:ascii="Times New Roman" w:hAnsi="Times New Roman" w:eastAsia="仿宋_GB2312" w:cs="Times New Roman"/>
                <w:b w:val="0"/>
                <w:bCs/>
                <w:color w:val="000000"/>
                <w:sz w:val="24"/>
                <w:szCs w:val="24"/>
                <w:highlight w:val="none"/>
                <w:u w:val="none"/>
                <w:lang w:val="en-US" w:eastAsia="zh-CN"/>
              </w:rPr>
              <w:t>小时。</w:t>
            </w:r>
          </w:p>
        </w:tc>
        <w:tc>
          <w:tcPr>
            <w:tcW w:w="3030" w:type="pct"/>
            <w:tcBorders>
              <w:tl2br w:val="nil"/>
              <w:tr2bl w:val="nil"/>
            </w:tcBorders>
            <w:noWrap w:val="0"/>
            <w:vAlign w:val="center"/>
          </w:tcPr>
          <w:p w14:paraId="3084A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召开全市学校体育工作现场会，对学校体育课质量和每天一小时体育课及大课间活动落实情况进行督查和指导，确保学生每天综合体育活动时间不低于2小时；举办淮南市首届学生跳绳比赛；举办了2025年淮南市中小学“谁是球王”校园足球比赛和中小学生田径运动会。</w:t>
            </w:r>
          </w:p>
        </w:tc>
      </w:tr>
      <w:tr w14:paraId="1F386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98" w:type="pct"/>
            <w:tcBorders>
              <w:tl2br w:val="nil"/>
              <w:tr2bl w:val="nil"/>
            </w:tcBorders>
            <w:noWrap w:val="0"/>
            <w:vAlign w:val="center"/>
          </w:tcPr>
          <w:p w14:paraId="14F26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14</w:t>
            </w:r>
          </w:p>
        </w:tc>
        <w:tc>
          <w:tcPr>
            <w:tcW w:w="259" w:type="pct"/>
            <w:tcBorders>
              <w:tl2br w:val="nil"/>
              <w:tr2bl w:val="nil"/>
            </w:tcBorders>
            <w:noWrap w:val="0"/>
            <w:vAlign w:val="center"/>
          </w:tcPr>
          <w:p w14:paraId="05D625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511" w:type="pct"/>
            <w:tcBorders>
              <w:tl2br w:val="nil"/>
              <w:tr2bl w:val="nil"/>
            </w:tcBorders>
            <w:noWrap/>
            <w:vAlign w:val="center"/>
          </w:tcPr>
          <w:p w14:paraId="2A625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（22）实施老有所学行动，全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市各级各类</w:t>
            </w:r>
            <w:r>
              <w:rPr>
                <w:rFonts w:hint="default" w:ascii="Times New Roman" w:hAnsi="Times New Roman" w:eastAsia="仿宋_GB2312" w:cs="Times New Roman"/>
                <w:b w:val="0"/>
                <w:bCs/>
                <w:color w:val="000000"/>
                <w:sz w:val="24"/>
                <w:szCs w:val="24"/>
                <w:highlight w:val="none"/>
                <w:u w:val="none"/>
                <w:lang w:val="en-US" w:eastAsia="zh-CN"/>
              </w:rPr>
              <w:t>老年学校新增学习人数</w:t>
            </w:r>
            <w:r>
              <w:rPr>
                <w:rFonts w:hint="default" w:ascii="Times New Roman" w:hAnsi="Times New Roman" w:eastAsia="仿宋_GB2312" w:cs="Times New Roman"/>
                <w:b w:val="0"/>
                <w:bCs/>
                <w:strike w:val="0"/>
                <w:dstrike w:val="0"/>
                <w:color w:val="000000"/>
                <w:sz w:val="24"/>
                <w:szCs w:val="24"/>
                <w:highlight w:val="none"/>
                <w:u w:val="none"/>
                <w:lang w:val="en-US" w:eastAsia="zh-CN"/>
              </w:rPr>
              <w:t>4.67万</w:t>
            </w:r>
            <w:r>
              <w:rPr>
                <w:rFonts w:hint="default" w:ascii="Times New Roman" w:hAnsi="Times New Roman" w:eastAsia="仿宋_GB2312" w:cs="Times New Roman"/>
                <w:b w:val="0"/>
                <w:bCs/>
                <w:color w:val="000000"/>
                <w:sz w:val="24"/>
                <w:szCs w:val="24"/>
                <w:highlight w:val="none"/>
                <w:u w:val="none"/>
                <w:lang w:val="en-US" w:eastAsia="zh-CN"/>
              </w:rPr>
              <w:t>人左右，参与学习教育活动的老年人达到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23.7万</w:t>
            </w:r>
            <w:r>
              <w:rPr>
                <w:rFonts w:hint="default" w:ascii="Times New Roman" w:hAnsi="Times New Roman" w:eastAsia="仿宋_GB2312" w:cs="Times New Roman"/>
                <w:b w:val="0"/>
                <w:bCs/>
                <w:color w:val="000000"/>
                <w:sz w:val="24"/>
                <w:szCs w:val="24"/>
                <w:highlight w:val="none"/>
                <w:u w:val="none"/>
                <w:lang w:val="en-US" w:eastAsia="zh-CN"/>
              </w:rPr>
              <w:t>人左右。</w:t>
            </w:r>
          </w:p>
        </w:tc>
        <w:tc>
          <w:tcPr>
            <w:tcW w:w="3030" w:type="pct"/>
            <w:tcBorders>
              <w:tl2br w:val="nil"/>
              <w:tr2bl w:val="nil"/>
            </w:tcBorders>
            <w:noWrap w:val="0"/>
            <w:vAlign w:val="center"/>
          </w:tcPr>
          <w:p w14:paraId="15E98A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全年全市各级各类老年学校新增学习老年人5.091万人，参与学习教育活动的老年人达到24.12万人。</w:t>
            </w:r>
          </w:p>
        </w:tc>
      </w:tr>
      <w:tr w14:paraId="34F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98" w:type="pct"/>
            <w:tcBorders>
              <w:tl2br w:val="nil"/>
              <w:tr2bl w:val="nil"/>
            </w:tcBorders>
            <w:noWrap w:val="0"/>
            <w:vAlign w:val="center"/>
          </w:tcPr>
          <w:p w14:paraId="14878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15</w:t>
            </w:r>
          </w:p>
        </w:tc>
        <w:tc>
          <w:tcPr>
            <w:tcW w:w="259" w:type="pct"/>
            <w:tcBorders>
              <w:tl2br w:val="nil"/>
              <w:tr2bl w:val="nil"/>
            </w:tcBorders>
            <w:noWrap w:val="0"/>
            <w:vAlign w:val="center"/>
          </w:tcPr>
          <w:p w14:paraId="097CC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511" w:type="pct"/>
            <w:tcBorders>
              <w:tl2br w:val="nil"/>
              <w:tr2bl w:val="nil"/>
            </w:tcBorders>
            <w:noWrap/>
            <w:vAlign w:val="center"/>
          </w:tcPr>
          <w:p w14:paraId="6A9252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（23）实施健康口腔行动，加强儿童口腔疾病综合干预，局部涂氟和窝沟封闭项目分别覆盖</w:t>
            </w:r>
            <w:r>
              <w:rPr>
                <w:rFonts w:hint="default" w:ascii="Times New Roman" w:hAnsi="Times New Roman" w:eastAsia="仿宋_GB2312" w:cs="Times New Roman"/>
                <w:b w:val="0"/>
                <w:bCs/>
                <w:strike w:val="0"/>
                <w:dstrike w:val="0"/>
                <w:color w:val="000000"/>
                <w:sz w:val="24"/>
                <w:szCs w:val="24"/>
                <w:highlight w:val="none"/>
                <w:u w:val="none"/>
                <w:lang w:val="en-US" w:eastAsia="zh-CN"/>
              </w:rPr>
              <w:t>28%</w:t>
            </w:r>
            <w:r>
              <w:rPr>
                <w:rFonts w:hint="default" w:ascii="Times New Roman" w:hAnsi="Times New Roman" w:eastAsia="仿宋_GB2312" w:cs="Times New Roman"/>
                <w:b w:val="0"/>
                <w:bCs/>
                <w:color w:val="000000"/>
                <w:sz w:val="24"/>
                <w:szCs w:val="24"/>
                <w:highlight w:val="none"/>
                <w:u w:val="none"/>
                <w:lang w:val="en-US" w:eastAsia="zh-CN"/>
              </w:rPr>
              <w:t>的适龄儿童。</w:t>
            </w:r>
          </w:p>
        </w:tc>
        <w:tc>
          <w:tcPr>
            <w:tcW w:w="3030" w:type="pct"/>
            <w:tcBorders>
              <w:tl2br w:val="nil"/>
              <w:tr2bl w:val="nil"/>
            </w:tcBorders>
            <w:noWrap w:val="0"/>
            <w:vAlign w:val="center"/>
          </w:tcPr>
          <w:p w14:paraId="689089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w:t>
            </w:r>
            <w:r>
              <w:rPr>
                <w:rFonts w:hint="default" w:ascii="Times New Roman" w:hAnsi="Times New Roman" w:eastAsia="仿宋_GB2312" w:cs="Times New Roman"/>
                <w:b w:val="0"/>
                <w:bCs/>
                <w:color w:val="auto"/>
                <w:sz w:val="24"/>
                <w:szCs w:val="24"/>
                <w:highlight w:val="none"/>
                <w:u w:val="none"/>
                <w:lang w:val="en-US" w:eastAsia="zh-CN"/>
              </w:rPr>
              <w:t>为6303名6-9岁儿童提供免费窝沟封闭服务，为19974名3-6岁儿童提供免费局部涂氟服务。</w:t>
            </w:r>
          </w:p>
        </w:tc>
      </w:tr>
      <w:tr w14:paraId="48810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8" w:type="pct"/>
            <w:tcBorders>
              <w:tl2br w:val="nil"/>
              <w:tr2bl w:val="nil"/>
            </w:tcBorders>
            <w:noWrap w:val="0"/>
            <w:vAlign w:val="center"/>
          </w:tcPr>
          <w:p w14:paraId="2BDD1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16</w:t>
            </w:r>
          </w:p>
        </w:tc>
        <w:tc>
          <w:tcPr>
            <w:tcW w:w="259" w:type="pct"/>
            <w:tcBorders>
              <w:tl2br w:val="nil"/>
              <w:tr2bl w:val="nil"/>
            </w:tcBorders>
            <w:noWrap w:val="0"/>
            <w:vAlign w:val="center"/>
          </w:tcPr>
          <w:p w14:paraId="7AC92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511" w:type="pct"/>
            <w:tcBorders>
              <w:tl2br w:val="nil"/>
              <w:tr2bl w:val="nil"/>
            </w:tcBorders>
            <w:noWrap/>
            <w:vAlign w:val="center"/>
          </w:tcPr>
          <w:p w14:paraId="27E8F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（24）实施出生缺陷防治提升行动，新生儿遗传代谢病筛查率和新生儿听力障碍筛查率分别达到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98%</w:t>
            </w:r>
            <w:r>
              <w:rPr>
                <w:rFonts w:hint="default" w:ascii="Times New Roman" w:hAnsi="Times New Roman" w:eastAsia="仿宋_GB2312" w:cs="Times New Roman"/>
                <w:b w:val="0"/>
                <w:bCs/>
                <w:color w:val="000000"/>
                <w:sz w:val="24"/>
                <w:szCs w:val="24"/>
                <w:highlight w:val="none"/>
                <w:u w:val="none"/>
                <w:lang w:val="en-US" w:eastAsia="zh-CN"/>
              </w:rPr>
              <w:t>以上和</w:t>
            </w:r>
            <w:r>
              <w:rPr>
                <w:rFonts w:hint="default" w:ascii="Times New Roman" w:hAnsi="Times New Roman" w:eastAsia="仿宋_GB2312" w:cs="Times New Roman"/>
                <w:b w:val="0"/>
                <w:bCs/>
                <w:strike w:val="0"/>
                <w:dstrike w:val="0"/>
                <w:color w:val="000000"/>
                <w:sz w:val="24"/>
                <w:szCs w:val="24"/>
                <w:highlight w:val="none"/>
                <w:u w:val="none"/>
                <w:lang w:val="en-US" w:eastAsia="zh-CN"/>
              </w:rPr>
              <w:t>95%</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030" w:type="pct"/>
            <w:tcBorders>
              <w:tl2br w:val="nil"/>
              <w:tr2bl w:val="nil"/>
            </w:tcBorders>
            <w:noWrap w:val="0"/>
            <w:vAlign w:val="center"/>
          </w:tcPr>
          <w:p w14:paraId="40948E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全年全市共出生人口10572人，完成新生儿疾病筛查10484人，听力筛查10550人。</w:t>
            </w:r>
          </w:p>
        </w:tc>
      </w:tr>
      <w:tr w14:paraId="46CE9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98" w:type="pct"/>
            <w:vMerge w:val="restart"/>
            <w:tcBorders>
              <w:tl2br w:val="nil"/>
              <w:tr2bl w:val="nil"/>
            </w:tcBorders>
            <w:noWrap w:val="0"/>
            <w:vAlign w:val="center"/>
          </w:tcPr>
          <w:p w14:paraId="335E9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17</w:t>
            </w:r>
          </w:p>
        </w:tc>
        <w:tc>
          <w:tcPr>
            <w:tcW w:w="259" w:type="pct"/>
            <w:vMerge w:val="restart"/>
            <w:tcBorders>
              <w:tl2br w:val="nil"/>
              <w:tr2bl w:val="nil"/>
            </w:tcBorders>
            <w:noWrap w:val="0"/>
            <w:vAlign w:val="center"/>
          </w:tcPr>
          <w:p w14:paraId="56E8F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p w14:paraId="029C7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511" w:type="pct"/>
            <w:tcBorders>
              <w:tl2br w:val="nil"/>
              <w:tr2bl w:val="nil"/>
            </w:tcBorders>
            <w:noWrap/>
            <w:vAlign w:val="center"/>
          </w:tcPr>
          <w:p w14:paraId="34438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b w:val="0"/>
                <w:bCs/>
                <w:color w:val="auto"/>
                <w:sz w:val="24"/>
                <w:szCs w:val="24"/>
                <w:highlight w:val="none"/>
                <w:u w:val="none"/>
                <w:lang w:val="en-US" w:eastAsia="zh-CN"/>
              </w:rPr>
              <w:t>（25）为</w:t>
            </w:r>
            <w:r>
              <w:rPr>
                <w:rFonts w:hint="default" w:ascii="Times New Roman" w:hAnsi="Times New Roman" w:eastAsia="仿宋_GB2312" w:cs="Times New Roman"/>
                <w:b w:val="0"/>
                <w:bCs/>
                <w:strike w:val="0"/>
                <w:dstrike w:val="0"/>
                <w:color w:val="auto"/>
                <w:sz w:val="24"/>
                <w:szCs w:val="24"/>
                <w:highlight w:val="none"/>
                <w:u w:val="none"/>
                <w:lang w:val="en-US" w:eastAsia="zh-CN"/>
              </w:rPr>
              <w:t>2.71万</w:t>
            </w:r>
            <w:r>
              <w:rPr>
                <w:rFonts w:hint="default" w:ascii="Times New Roman" w:hAnsi="Times New Roman" w:eastAsia="仿宋_GB2312" w:cs="Times New Roman"/>
                <w:b w:val="0"/>
                <w:bCs/>
                <w:color w:val="auto"/>
                <w:sz w:val="24"/>
                <w:szCs w:val="24"/>
                <w:highlight w:val="none"/>
                <w:u w:val="none"/>
                <w:lang w:val="en-US" w:eastAsia="zh-CN"/>
              </w:rPr>
              <w:t>名七至九年级适龄女生提供国产二价人乳头瘤病毒（HPV）疫苗免费接种服务。</w:t>
            </w:r>
          </w:p>
        </w:tc>
        <w:tc>
          <w:tcPr>
            <w:tcW w:w="3030" w:type="pct"/>
            <w:tcBorders>
              <w:tl2br w:val="nil"/>
              <w:tr2bl w:val="nil"/>
            </w:tcBorders>
            <w:noWrap w:val="0"/>
            <w:vAlign w:val="center"/>
          </w:tcPr>
          <w:p w14:paraId="482D14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b w:val="0"/>
                <w:bCs/>
                <w:color w:val="000000"/>
                <w:sz w:val="24"/>
                <w:szCs w:val="24"/>
                <w:highlight w:val="none"/>
                <w:u w:val="none"/>
                <w:lang w:val="en-US" w:eastAsia="zh-CN"/>
              </w:rPr>
              <w:t>全年为2.7</w:t>
            </w:r>
            <w:r>
              <w:rPr>
                <w:rFonts w:hint="eastAsia" w:ascii="Times New Roman" w:hAnsi="Times New Roman" w:eastAsia="仿宋_GB2312" w:cs="Times New Roman"/>
                <w:b w:val="0"/>
                <w:bCs/>
                <w:color w:val="000000"/>
                <w:sz w:val="24"/>
                <w:szCs w:val="24"/>
                <w:highlight w:val="none"/>
                <w:u w:val="none"/>
                <w:lang w:val="en-US" w:eastAsia="zh-CN"/>
              </w:rPr>
              <w:t>7</w:t>
            </w:r>
            <w:r>
              <w:rPr>
                <w:rFonts w:hint="default" w:ascii="Times New Roman" w:hAnsi="Times New Roman" w:eastAsia="仿宋_GB2312" w:cs="Times New Roman"/>
                <w:b w:val="0"/>
                <w:bCs/>
                <w:color w:val="000000"/>
                <w:sz w:val="24"/>
                <w:szCs w:val="24"/>
                <w:highlight w:val="none"/>
                <w:u w:val="none"/>
                <w:lang w:val="en-US" w:eastAsia="zh-CN"/>
              </w:rPr>
              <w:t>万名适龄女生提供免费接种服务。</w:t>
            </w:r>
          </w:p>
        </w:tc>
      </w:tr>
      <w:tr w14:paraId="33744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98" w:type="pct"/>
            <w:vMerge w:val="continue"/>
            <w:tcBorders>
              <w:tl2br w:val="nil"/>
              <w:tr2bl w:val="nil"/>
            </w:tcBorders>
            <w:noWrap w:val="0"/>
            <w:vAlign w:val="center"/>
          </w:tcPr>
          <w:p w14:paraId="45165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2D152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2A934C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（26）为农村地区适龄妇女提供</w:t>
            </w:r>
            <w:r>
              <w:rPr>
                <w:rFonts w:hint="default" w:ascii="Times New Roman" w:hAnsi="Times New Roman" w:eastAsia="仿宋_GB2312" w:cs="Times New Roman"/>
                <w:b w:val="0"/>
                <w:bCs/>
                <w:strike w:val="0"/>
                <w:dstrike w:val="0"/>
                <w:color w:val="000000"/>
                <w:sz w:val="24"/>
                <w:szCs w:val="24"/>
                <w:highlight w:val="none"/>
                <w:u w:val="none"/>
                <w:lang w:val="en-US" w:eastAsia="zh-CN"/>
              </w:rPr>
              <w:t>3.84万</w:t>
            </w:r>
            <w:r>
              <w:rPr>
                <w:rFonts w:hint="default" w:ascii="Times New Roman" w:hAnsi="Times New Roman" w:eastAsia="仿宋_GB2312" w:cs="Times New Roman"/>
                <w:b w:val="0"/>
                <w:bCs/>
                <w:color w:val="000000"/>
                <w:sz w:val="24"/>
                <w:szCs w:val="24"/>
                <w:highlight w:val="none"/>
                <w:u w:val="none"/>
                <w:lang w:val="en-US" w:eastAsia="zh-CN"/>
              </w:rPr>
              <w:t>人次宫颈癌、</w:t>
            </w:r>
            <w:r>
              <w:rPr>
                <w:rFonts w:hint="default" w:ascii="Times New Roman" w:hAnsi="Times New Roman" w:eastAsia="仿宋_GB2312" w:cs="Times New Roman"/>
                <w:b w:val="0"/>
                <w:bCs/>
                <w:strike w:val="0"/>
                <w:dstrike w:val="0"/>
                <w:color w:val="000000"/>
                <w:sz w:val="24"/>
                <w:szCs w:val="24"/>
                <w:highlight w:val="none"/>
                <w:u w:val="none"/>
                <w:lang w:val="en-US" w:eastAsia="zh-CN"/>
              </w:rPr>
              <w:t>1.06万</w:t>
            </w:r>
            <w:r>
              <w:rPr>
                <w:rFonts w:hint="default" w:ascii="Times New Roman" w:hAnsi="Times New Roman" w:eastAsia="仿宋_GB2312" w:cs="Times New Roman"/>
                <w:b w:val="0"/>
                <w:bCs/>
                <w:color w:val="000000"/>
                <w:sz w:val="24"/>
                <w:szCs w:val="24"/>
                <w:highlight w:val="none"/>
                <w:u w:val="none"/>
                <w:lang w:val="en-US" w:eastAsia="zh-CN"/>
              </w:rPr>
              <w:t>人次乳腺癌免费筛查服务。</w:t>
            </w:r>
          </w:p>
        </w:tc>
        <w:tc>
          <w:tcPr>
            <w:tcW w:w="3030" w:type="pct"/>
            <w:tcBorders>
              <w:tl2br w:val="nil"/>
              <w:tr2bl w:val="nil"/>
            </w:tcBorders>
            <w:noWrap w:val="0"/>
            <w:vAlign w:val="center"/>
          </w:tcPr>
          <w:p w14:paraId="793A51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全年为</w:t>
            </w:r>
            <w:r>
              <w:rPr>
                <w:rFonts w:hint="default" w:ascii="Times New Roman" w:hAnsi="Times New Roman" w:eastAsia="仿宋_GB2312" w:cs="Times New Roman"/>
                <w:b w:val="0"/>
                <w:bCs/>
                <w:color w:val="000000"/>
                <w:sz w:val="24"/>
                <w:szCs w:val="24"/>
                <w:highlight w:val="none"/>
                <w:u w:val="none"/>
                <w:lang w:val="en-US" w:eastAsia="zh-CN"/>
              </w:rPr>
              <w:t>农村地区适龄妇女</w:t>
            </w:r>
            <w:r>
              <w:rPr>
                <w:rFonts w:hint="default" w:ascii="Times New Roman" w:hAnsi="Times New Roman" w:eastAsia="仿宋_GB2312" w:cs="Times New Roman"/>
                <w:i w:val="0"/>
                <w:iCs w:val="0"/>
                <w:color w:val="auto"/>
                <w:sz w:val="24"/>
                <w:szCs w:val="24"/>
                <w:highlight w:val="none"/>
                <w:u w:val="none"/>
                <w:lang w:val="en-US" w:eastAsia="zh-CN"/>
              </w:rPr>
              <w:t>宫颈癌筛查38477人次，乳腺癌筛查已完成10716人。</w:t>
            </w:r>
          </w:p>
        </w:tc>
      </w:tr>
      <w:tr w14:paraId="379E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98" w:type="pct"/>
            <w:tcBorders>
              <w:tl2br w:val="nil"/>
              <w:tr2bl w:val="nil"/>
            </w:tcBorders>
            <w:noWrap w:val="0"/>
            <w:vAlign w:val="center"/>
          </w:tcPr>
          <w:p w14:paraId="0C1B8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18</w:t>
            </w:r>
          </w:p>
        </w:tc>
        <w:tc>
          <w:tcPr>
            <w:tcW w:w="259" w:type="pct"/>
            <w:tcBorders>
              <w:tl2br w:val="nil"/>
              <w:tr2bl w:val="nil"/>
            </w:tcBorders>
            <w:noWrap w:val="0"/>
            <w:vAlign w:val="center"/>
          </w:tcPr>
          <w:p w14:paraId="0D571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1511" w:type="pct"/>
            <w:tcBorders>
              <w:tl2br w:val="nil"/>
              <w:tr2bl w:val="nil"/>
            </w:tcBorders>
            <w:noWrap/>
            <w:vAlign w:val="center"/>
          </w:tcPr>
          <w:p w14:paraId="08EFE5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（27）开展农村黑臭水体治理，新增完成</w:t>
            </w:r>
            <w:r>
              <w:rPr>
                <w:rFonts w:hint="default" w:ascii="Times New Roman" w:hAnsi="Times New Roman" w:eastAsia="仿宋_GB2312" w:cs="Times New Roman"/>
                <w:b w:val="0"/>
                <w:bCs/>
                <w:strike w:val="0"/>
                <w:dstrike w:val="0"/>
                <w:color w:val="000000"/>
                <w:sz w:val="24"/>
                <w:szCs w:val="24"/>
                <w:highlight w:val="none"/>
                <w:u w:val="none"/>
                <w:lang w:val="en-US" w:eastAsia="zh-CN"/>
              </w:rPr>
              <w:t>82</w:t>
            </w:r>
            <w:r>
              <w:rPr>
                <w:rFonts w:hint="default" w:ascii="Times New Roman" w:hAnsi="Times New Roman" w:eastAsia="仿宋_GB2312" w:cs="Times New Roman"/>
                <w:b w:val="0"/>
                <w:bCs/>
                <w:color w:val="000000"/>
                <w:sz w:val="24"/>
                <w:szCs w:val="24"/>
                <w:highlight w:val="none"/>
                <w:u w:val="none"/>
                <w:lang w:val="en-US" w:eastAsia="zh-CN"/>
              </w:rPr>
              <w:t>条以上农村黑臭水体治理任务。</w:t>
            </w:r>
          </w:p>
        </w:tc>
        <w:tc>
          <w:tcPr>
            <w:tcW w:w="3030" w:type="pct"/>
            <w:tcBorders>
              <w:tl2br w:val="nil"/>
              <w:tr2bl w:val="nil"/>
            </w:tcBorders>
            <w:noWrap w:val="0"/>
            <w:vAlign w:val="center"/>
          </w:tcPr>
          <w:p w14:paraId="63692B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全年全市</w:t>
            </w:r>
            <w:r>
              <w:rPr>
                <w:rFonts w:hint="default" w:ascii="Times New Roman" w:hAnsi="Times New Roman" w:eastAsia="仿宋_GB2312" w:cs="Times New Roman"/>
                <w:b w:val="0"/>
                <w:bCs/>
                <w:color w:val="000000"/>
                <w:sz w:val="24"/>
                <w:szCs w:val="24"/>
                <w:highlight w:val="none"/>
                <w:u w:val="none"/>
                <w:lang w:val="en-US" w:eastAsia="zh-CN"/>
              </w:rPr>
              <w:t>新增完成</w:t>
            </w:r>
            <w:r>
              <w:rPr>
                <w:rFonts w:hint="default" w:ascii="Times New Roman" w:hAnsi="Times New Roman" w:eastAsia="仿宋_GB2312" w:cs="Times New Roman"/>
                <w:b w:val="0"/>
                <w:bCs/>
                <w:strike w:val="0"/>
                <w:dstrike w:val="0"/>
                <w:color w:val="000000"/>
                <w:sz w:val="24"/>
                <w:szCs w:val="24"/>
                <w:highlight w:val="none"/>
                <w:u w:val="none"/>
                <w:lang w:val="en-US" w:eastAsia="zh-CN"/>
              </w:rPr>
              <w:t>82</w:t>
            </w:r>
            <w:r>
              <w:rPr>
                <w:rFonts w:hint="default" w:ascii="Times New Roman" w:hAnsi="Times New Roman" w:eastAsia="仿宋_GB2312" w:cs="Times New Roman"/>
                <w:b w:val="0"/>
                <w:bCs/>
                <w:color w:val="000000"/>
                <w:sz w:val="24"/>
                <w:szCs w:val="24"/>
                <w:highlight w:val="none"/>
                <w:u w:val="none"/>
                <w:lang w:val="en-US" w:eastAsia="zh-CN"/>
              </w:rPr>
              <w:t>条以上农村黑臭水体治理</w:t>
            </w:r>
            <w:r>
              <w:rPr>
                <w:rFonts w:hint="default" w:ascii="Times New Roman" w:hAnsi="Times New Roman" w:eastAsia="仿宋_GB2312" w:cs="Times New Roman"/>
                <w:i w:val="0"/>
                <w:iCs w:val="0"/>
                <w:color w:val="000000"/>
                <w:sz w:val="24"/>
                <w:szCs w:val="24"/>
                <w:highlight w:val="none"/>
                <w:u w:val="none"/>
              </w:rPr>
              <w:t>。</w:t>
            </w:r>
          </w:p>
        </w:tc>
      </w:tr>
      <w:tr w14:paraId="32500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jc w:val="center"/>
        </w:trPr>
        <w:tc>
          <w:tcPr>
            <w:tcW w:w="198" w:type="pct"/>
            <w:tcBorders>
              <w:tl2br w:val="nil"/>
              <w:tr2bl w:val="nil"/>
            </w:tcBorders>
            <w:noWrap w:val="0"/>
            <w:vAlign w:val="center"/>
          </w:tcPr>
          <w:p w14:paraId="6385E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19</w:t>
            </w:r>
          </w:p>
        </w:tc>
        <w:tc>
          <w:tcPr>
            <w:tcW w:w="259" w:type="pct"/>
            <w:tcBorders>
              <w:tl2br w:val="nil"/>
              <w:tr2bl w:val="nil"/>
            </w:tcBorders>
            <w:noWrap w:val="0"/>
            <w:vAlign w:val="center"/>
          </w:tcPr>
          <w:p w14:paraId="4C255F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1511" w:type="pct"/>
            <w:tcBorders>
              <w:tl2br w:val="nil"/>
              <w:tr2bl w:val="nil"/>
            </w:tcBorders>
            <w:noWrap/>
            <w:vAlign w:val="center"/>
          </w:tcPr>
          <w:p w14:paraId="7A00F2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（28）深入推进餐饮油烟、噪声及恶臭异味扰民问题整治行动，群众“家门口”的生态环境问题得到有效整治。</w:t>
            </w:r>
          </w:p>
        </w:tc>
        <w:tc>
          <w:tcPr>
            <w:tcW w:w="3030" w:type="pct"/>
            <w:tcBorders>
              <w:tl2br w:val="nil"/>
              <w:tr2bl w:val="nil"/>
            </w:tcBorders>
            <w:noWrap w:val="0"/>
            <w:vAlign w:val="center"/>
          </w:tcPr>
          <w:p w14:paraId="407B6B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全年全市梳理排查上报餐饮油烟、恶臭、噪声、道路扬尘扰民等问题清单共7816个，已全部完成整改。其中餐饮油烟问题1016个、恶臭扰民问题882个、噪声问题5918个。</w:t>
            </w:r>
          </w:p>
        </w:tc>
      </w:tr>
      <w:tr w14:paraId="5C92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198" w:type="pct"/>
            <w:tcBorders>
              <w:tl2br w:val="nil"/>
              <w:tr2bl w:val="nil"/>
            </w:tcBorders>
            <w:noWrap w:val="0"/>
            <w:vAlign w:val="center"/>
          </w:tcPr>
          <w:p w14:paraId="77DC2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20</w:t>
            </w:r>
          </w:p>
        </w:tc>
        <w:tc>
          <w:tcPr>
            <w:tcW w:w="259" w:type="pct"/>
            <w:tcBorders>
              <w:tl2br w:val="nil"/>
              <w:tr2bl w:val="nil"/>
            </w:tcBorders>
            <w:noWrap w:val="0"/>
            <w:vAlign w:val="center"/>
          </w:tcPr>
          <w:p w14:paraId="40D36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市交通运输局</w:t>
            </w:r>
          </w:p>
        </w:tc>
        <w:tc>
          <w:tcPr>
            <w:tcW w:w="1511" w:type="pct"/>
            <w:tcBorders>
              <w:tl2br w:val="nil"/>
              <w:tr2bl w:val="nil"/>
            </w:tcBorders>
            <w:noWrap/>
            <w:vAlign w:val="center"/>
          </w:tcPr>
          <w:p w14:paraId="744367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（29）深入推进新一轮“四好农村路”建设，实施农村公路提质改造工程</w:t>
            </w:r>
            <w:r>
              <w:rPr>
                <w:rFonts w:hint="default" w:ascii="Times New Roman" w:hAnsi="Times New Roman" w:eastAsia="仿宋_GB2312" w:cs="Times New Roman"/>
                <w:b w:val="0"/>
                <w:bCs/>
                <w:strike w:val="0"/>
                <w:dstrike w:val="0"/>
                <w:color w:val="000000"/>
                <w:sz w:val="24"/>
                <w:szCs w:val="24"/>
                <w:highlight w:val="none"/>
                <w:u w:val="none"/>
                <w:lang w:val="en-US" w:eastAsia="zh-CN"/>
              </w:rPr>
              <w:t>210</w:t>
            </w:r>
            <w:r>
              <w:rPr>
                <w:rFonts w:hint="default" w:ascii="Times New Roman" w:hAnsi="Times New Roman" w:eastAsia="仿宋_GB2312" w:cs="Times New Roman"/>
                <w:b w:val="0"/>
                <w:bCs/>
                <w:color w:val="000000"/>
                <w:sz w:val="24"/>
                <w:szCs w:val="24"/>
                <w:highlight w:val="none"/>
                <w:u w:val="none"/>
                <w:lang w:val="en-US" w:eastAsia="zh-CN"/>
              </w:rPr>
              <w:t>公里。</w:t>
            </w:r>
          </w:p>
        </w:tc>
        <w:tc>
          <w:tcPr>
            <w:tcW w:w="3030" w:type="pct"/>
            <w:tcBorders>
              <w:tl2br w:val="nil"/>
              <w:tr2bl w:val="nil"/>
            </w:tcBorders>
            <w:noWrap w:val="0"/>
            <w:vAlign w:val="center"/>
          </w:tcPr>
          <w:p w14:paraId="1004D4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color w:val="000000"/>
                <w:sz w:val="24"/>
                <w:szCs w:val="24"/>
                <w:highlight w:val="none"/>
                <w:u w:val="none"/>
                <w:lang w:val="en-US" w:eastAsia="zh-CN"/>
              </w:rPr>
              <w:t>全年完成农村公路提质改造工程</w:t>
            </w:r>
            <w:r>
              <w:rPr>
                <w:rFonts w:hint="default" w:ascii="Times New Roman" w:hAnsi="Times New Roman" w:eastAsia="仿宋_GB2312" w:cs="Times New Roman"/>
                <w:b w:val="0"/>
                <w:bCs/>
                <w:strike w:val="0"/>
                <w:dstrike w:val="0"/>
                <w:color w:val="000000"/>
                <w:sz w:val="24"/>
                <w:szCs w:val="24"/>
                <w:highlight w:val="none"/>
                <w:u w:val="none"/>
                <w:lang w:val="en-US" w:eastAsia="zh-CN"/>
              </w:rPr>
              <w:t>210</w:t>
            </w:r>
            <w:r>
              <w:rPr>
                <w:rFonts w:hint="default" w:ascii="Times New Roman" w:hAnsi="Times New Roman" w:eastAsia="仿宋_GB2312" w:cs="Times New Roman"/>
                <w:b w:val="0"/>
                <w:bCs/>
                <w:color w:val="000000"/>
                <w:sz w:val="24"/>
                <w:szCs w:val="24"/>
                <w:highlight w:val="none"/>
                <w:u w:val="none"/>
                <w:lang w:val="en-US" w:eastAsia="zh-CN"/>
              </w:rPr>
              <w:t>公里。</w:t>
            </w:r>
          </w:p>
        </w:tc>
      </w:tr>
      <w:tr w14:paraId="251EF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8" w:type="pct"/>
            <w:tcBorders>
              <w:tl2br w:val="nil"/>
              <w:tr2bl w:val="nil"/>
            </w:tcBorders>
            <w:noWrap w:val="0"/>
            <w:vAlign w:val="center"/>
          </w:tcPr>
          <w:p w14:paraId="083EF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21</w:t>
            </w:r>
          </w:p>
        </w:tc>
        <w:tc>
          <w:tcPr>
            <w:tcW w:w="259" w:type="pct"/>
            <w:tcBorders>
              <w:tl2br w:val="nil"/>
              <w:tr2bl w:val="nil"/>
            </w:tcBorders>
            <w:noWrap w:val="0"/>
            <w:vAlign w:val="center"/>
          </w:tcPr>
          <w:p w14:paraId="28B800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511" w:type="pct"/>
            <w:tcBorders>
              <w:tl2br w:val="nil"/>
              <w:tr2bl w:val="nil"/>
            </w:tcBorders>
            <w:noWrap/>
            <w:vAlign w:val="center"/>
          </w:tcPr>
          <w:p w14:paraId="3EEA6D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eastAsia="zh-CN"/>
              </w:rPr>
              <w:t>）实施便民停车行动，新增城市停车泊位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2.7</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r>
              <w:rPr>
                <w:rFonts w:hint="default" w:ascii="Times New Roman" w:hAnsi="Times New Roman" w:eastAsia="仿宋_GB2312" w:cs="Times New Roman"/>
                <w:b w:val="0"/>
                <w:bCs/>
                <w:color w:val="000000"/>
                <w:sz w:val="24"/>
                <w:szCs w:val="24"/>
                <w:highlight w:val="none"/>
                <w:u w:val="none"/>
                <w:lang w:val="en-US" w:eastAsia="zh-CN"/>
              </w:rPr>
              <w:t>其中公共停车泊位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2250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030" w:type="pct"/>
            <w:tcBorders>
              <w:tl2br w:val="nil"/>
              <w:tr2bl w:val="nil"/>
            </w:tcBorders>
            <w:noWrap w:val="0"/>
            <w:vAlign w:val="center"/>
          </w:tcPr>
          <w:p w14:paraId="04D161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全年全市新增城市停车泊位</w:t>
            </w:r>
            <w:r>
              <w:rPr>
                <w:rFonts w:hint="default" w:ascii="Times New Roman" w:hAnsi="Times New Roman" w:eastAsia="仿宋_GB2312" w:cs="Times New Roman"/>
                <w:i w:val="0"/>
                <w:iCs w:val="0"/>
                <w:color w:val="000000"/>
                <w:sz w:val="24"/>
                <w:szCs w:val="24"/>
                <w:highlight w:val="none"/>
                <w:u w:val="none"/>
                <w:lang w:val="en-US" w:eastAsia="zh-CN"/>
              </w:rPr>
              <w:t>2.79万</w:t>
            </w:r>
            <w:r>
              <w:rPr>
                <w:rFonts w:hint="default" w:ascii="Times New Roman" w:hAnsi="Times New Roman" w:eastAsia="仿宋_GB2312" w:cs="Times New Roman"/>
                <w:i w:val="0"/>
                <w:iCs w:val="0"/>
                <w:color w:val="000000"/>
                <w:sz w:val="24"/>
                <w:szCs w:val="24"/>
                <w:highlight w:val="none"/>
                <w:u w:val="none"/>
                <w:lang w:eastAsia="zh-CN"/>
              </w:rPr>
              <w:t>个，其中新增公共停车泊位数</w:t>
            </w:r>
            <w:r>
              <w:rPr>
                <w:rFonts w:hint="default" w:ascii="Times New Roman" w:hAnsi="Times New Roman" w:eastAsia="仿宋_GB2312" w:cs="Times New Roman"/>
                <w:i w:val="0"/>
                <w:iCs w:val="0"/>
                <w:color w:val="000000"/>
                <w:sz w:val="24"/>
                <w:szCs w:val="24"/>
                <w:highlight w:val="none"/>
                <w:u w:val="none"/>
                <w:lang w:val="en-US" w:eastAsia="zh-CN"/>
              </w:rPr>
              <w:t>6156</w:t>
            </w:r>
            <w:r>
              <w:rPr>
                <w:rFonts w:hint="default" w:ascii="Times New Roman" w:hAnsi="Times New Roman" w:eastAsia="仿宋_GB2312" w:cs="Times New Roman"/>
                <w:i w:val="0"/>
                <w:iCs w:val="0"/>
                <w:color w:val="000000"/>
                <w:sz w:val="24"/>
                <w:szCs w:val="24"/>
                <w:highlight w:val="none"/>
                <w:u w:val="none"/>
                <w:lang w:eastAsia="zh-CN"/>
              </w:rPr>
              <w:t>个。</w:t>
            </w:r>
          </w:p>
        </w:tc>
      </w:tr>
      <w:tr w14:paraId="6EC38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98" w:type="pct"/>
            <w:vMerge w:val="restart"/>
            <w:tcBorders>
              <w:tl2br w:val="nil"/>
              <w:tr2bl w:val="nil"/>
            </w:tcBorders>
            <w:noWrap w:val="0"/>
            <w:vAlign w:val="center"/>
          </w:tcPr>
          <w:p w14:paraId="2F839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22</w:t>
            </w:r>
          </w:p>
        </w:tc>
        <w:tc>
          <w:tcPr>
            <w:tcW w:w="259" w:type="pct"/>
            <w:vMerge w:val="restart"/>
            <w:tcBorders>
              <w:tl2br w:val="nil"/>
              <w:tr2bl w:val="nil"/>
            </w:tcBorders>
            <w:noWrap w:val="0"/>
            <w:vAlign w:val="center"/>
          </w:tcPr>
          <w:p w14:paraId="44BC0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市委宣传部、市文旅局</w:t>
            </w:r>
          </w:p>
        </w:tc>
        <w:tc>
          <w:tcPr>
            <w:tcW w:w="1511" w:type="pct"/>
            <w:tcBorders>
              <w:tl2br w:val="nil"/>
              <w:tr2bl w:val="nil"/>
            </w:tcBorders>
            <w:noWrap/>
            <w:vAlign w:val="center"/>
          </w:tcPr>
          <w:p w14:paraId="7BDC48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31</w:t>
            </w:r>
            <w:r>
              <w:rPr>
                <w:rFonts w:hint="default" w:ascii="Times New Roman" w:hAnsi="Times New Roman" w:eastAsia="仿宋_GB2312" w:cs="Times New Roman"/>
                <w:b w:val="0"/>
                <w:bCs/>
                <w:color w:val="000000"/>
                <w:sz w:val="24"/>
                <w:szCs w:val="24"/>
                <w:highlight w:val="none"/>
                <w:u w:val="none"/>
                <w:lang w:eastAsia="zh-CN"/>
              </w:rPr>
              <w:t>）完善便民文化设施，依托“15分钟阅读圈”建设，建成</w:t>
            </w:r>
            <w:r>
              <w:rPr>
                <w:rFonts w:hint="default" w:ascii="Times New Roman" w:hAnsi="Times New Roman" w:eastAsia="仿宋_GB2312" w:cs="Times New Roman"/>
                <w:b w:val="0"/>
                <w:bCs/>
                <w:strike w:val="0"/>
                <w:dstrike w:val="0"/>
                <w:color w:val="000000"/>
                <w:sz w:val="24"/>
                <w:szCs w:val="24"/>
                <w:highlight w:val="none"/>
                <w:u w:val="none"/>
                <w:lang w:val="en-US" w:eastAsia="zh-CN"/>
              </w:rPr>
              <w:t>22</w:t>
            </w:r>
            <w:r>
              <w:rPr>
                <w:rFonts w:hint="default" w:ascii="Times New Roman" w:hAnsi="Times New Roman" w:eastAsia="仿宋_GB2312" w:cs="Times New Roman"/>
                <w:b w:val="0"/>
                <w:bCs/>
                <w:color w:val="000000"/>
                <w:sz w:val="24"/>
                <w:szCs w:val="24"/>
                <w:highlight w:val="none"/>
                <w:u w:val="none"/>
                <w:lang w:eastAsia="zh-CN"/>
              </w:rPr>
              <w:t>个公共文化空间。</w:t>
            </w:r>
          </w:p>
        </w:tc>
        <w:tc>
          <w:tcPr>
            <w:tcW w:w="3030" w:type="pct"/>
            <w:tcBorders>
              <w:tl2br w:val="nil"/>
              <w:tr2bl w:val="nil"/>
            </w:tcBorders>
            <w:noWrap w:val="0"/>
            <w:vAlign w:val="center"/>
          </w:tcPr>
          <w:p w14:paraId="42FA6D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w:t>
            </w:r>
            <w:r>
              <w:rPr>
                <w:rFonts w:hint="default" w:ascii="Times New Roman" w:hAnsi="Times New Roman" w:eastAsia="仿宋_GB2312" w:cs="Times New Roman"/>
                <w:i w:val="0"/>
                <w:iCs w:val="0"/>
                <w:color w:val="000000"/>
                <w:sz w:val="24"/>
                <w:szCs w:val="24"/>
                <w:highlight w:val="none"/>
                <w:u w:val="none"/>
                <w:lang w:eastAsia="zh-CN"/>
              </w:rPr>
              <w:t>已</w:t>
            </w:r>
            <w:r>
              <w:rPr>
                <w:rFonts w:hint="default" w:ascii="Times New Roman" w:hAnsi="Times New Roman" w:eastAsia="仿宋_GB2312" w:cs="Times New Roman"/>
                <w:i w:val="0"/>
                <w:iCs w:val="0"/>
                <w:color w:val="000000"/>
                <w:sz w:val="24"/>
                <w:szCs w:val="24"/>
                <w:highlight w:val="none"/>
                <w:u w:val="none"/>
                <w:lang w:val="en-US" w:eastAsia="zh-CN"/>
              </w:rPr>
              <w:t>建成22个公共文化空间。</w:t>
            </w:r>
          </w:p>
        </w:tc>
      </w:tr>
      <w:tr w14:paraId="78E5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98" w:type="pct"/>
            <w:vMerge w:val="continue"/>
            <w:tcBorders>
              <w:tl2br w:val="nil"/>
              <w:tr2bl w:val="nil"/>
            </w:tcBorders>
            <w:noWrap w:val="0"/>
            <w:vAlign w:val="center"/>
          </w:tcPr>
          <w:p w14:paraId="7B52B7EC">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071274A4">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ign w:val="center"/>
          </w:tcPr>
          <w:p w14:paraId="1BF8E0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（32）每个公共文化空间年举办各类活动不少于40场、年服务群众不少于2万人次。</w:t>
            </w:r>
          </w:p>
        </w:tc>
        <w:tc>
          <w:tcPr>
            <w:tcW w:w="3030" w:type="pct"/>
            <w:tcBorders>
              <w:tl2br w:val="nil"/>
              <w:tr2bl w:val="nil"/>
            </w:tcBorders>
            <w:noWrap w:val="0"/>
            <w:vAlign w:val="center"/>
          </w:tcPr>
          <w:p w14:paraId="4EF6CE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全年全市公共文化空间已开展活动1205场次，服务群众105.5万人次。</w:t>
            </w:r>
          </w:p>
        </w:tc>
      </w:tr>
      <w:tr w14:paraId="7FAF2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98" w:type="pct"/>
            <w:tcBorders>
              <w:tl2br w:val="nil"/>
              <w:tr2bl w:val="nil"/>
            </w:tcBorders>
            <w:noWrap w:val="0"/>
            <w:vAlign w:val="center"/>
          </w:tcPr>
          <w:p w14:paraId="6A56F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23</w:t>
            </w:r>
          </w:p>
        </w:tc>
        <w:tc>
          <w:tcPr>
            <w:tcW w:w="259" w:type="pct"/>
            <w:tcBorders>
              <w:tl2br w:val="nil"/>
              <w:tr2bl w:val="nil"/>
            </w:tcBorders>
            <w:noWrap w:val="0"/>
            <w:vAlign w:val="center"/>
          </w:tcPr>
          <w:p w14:paraId="33F82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市文旅局</w:t>
            </w:r>
          </w:p>
        </w:tc>
        <w:tc>
          <w:tcPr>
            <w:tcW w:w="1511" w:type="pct"/>
            <w:tcBorders>
              <w:tl2br w:val="nil"/>
              <w:tr2bl w:val="nil"/>
            </w:tcBorders>
            <w:noWrap/>
            <w:vAlign w:val="center"/>
          </w:tcPr>
          <w:p w14:paraId="3C727C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33</w:t>
            </w:r>
            <w:r>
              <w:rPr>
                <w:rFonts w:hint="default" w:ascii="Times New Roman" w:hAnsi="Times New Roman" w:eastAsia="仿宋_GB2312" w:cs="Times New Roman"/>
                <w:b w:val="0"/>
                <w:bCs/>
                <w:color w:val="000000"/>
                <w:sz w:val="24"/>
                <w:szCs w:val="24"/>
                <w:highlight w:val="none"/>
                <w:u w:val="none"/>
                <w:lang w:eastAsia="zh-CN"/>
              </w:rPr>
              <w:t>）开展送戏进万村活动，向全</w:t>
            </w:r>
            <w:r>
              <w:rPr>
                <w:rFonts w:hint="default" w:ascii="Times New Roman" w:hAnsi="Times New Roman" w:eastAsia="仿宋_GB2312" w:cs="Times New Roman"/>
                <w:b w:val="0"/>
                <w:bCs/>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每个行政村送演出不少于1场。</w:t>
            </w:r>
          </w:p>
        </w:tc>
        <w:tc>
          <w:tcPr>
            <w:tcW w:w="3030" w:type="pct"/>
            <w:tcBorders>
              <w:tl2br w:val="nil"/>
              <w:tr2bl w:val="nil"/>
            </w:tcBorders>
            <w:noWrap w:val="0"/>
            <w:vAlign w:val="center"/>
          </w:tcPr>
          <w:p w14:paraId="7FC5B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全年完成送戏进万村演出1083场。</w:t>
            </w:r>
          </w:p>
        </w:tc>
      </w:tr>
      <w:tr w14:paraId="41E9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98" w:type="pct"/>
            <w:tcBorders>
              <w:tl2br w:val="nil"/>
              <w:tr2bl w:val="nil"/>
            </w:tcBorders>
            <w:noWrap w:val="0"/>
            <w:vAlign w:val="center"/>
          </w:tcPr>
          <w:p w14:paraId="7D818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24</w:t>
            </w:r>
          </w:p>
        </w:tc>
        <w:tc>
          <w:tcPr>
            <w:tcW w:w="259" w:type="pct"/>
            <w:tcBorders>
              <w:tl2br w:val="nil"/>
              <w:tr2bl w:val="nil"/>
            </w:tcBorders>
            <w:noWrap w:val="0"/>
            <w:vAlign w:val="center"/>
          </w:tcPr>
          <w:p w14:paraId="73239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511" w:type="pct"/>
            <w:tcBorders>
              <w:tl2br w:val="nil"/>
              <w:tr2bl w:val="nil"/>
            </w:tcBorders>
            <w:noWrap/>
            <w:vAlign w:val="center"/>
          </w:tcPr>
          <w:p w14:paraId="04B627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34</w:t>
            </w:r>
            <w:r>
              <w:rPr>
                <w:rFonts w:hint="default" w:ascii="Times New Roman" w:hAnsi="Times New Roman" w:eastAsia="仿宋_GB2312" w:cs="Times New Roman"/>
                <w:b w:val="0"/>
                <w:bCs/>
                <w:color w:val="000000"/>
                <w:sz w:val="24"/>
                <w:szCs w:val="24"/>
                <w:highlight w:val="none"/>
                <w:u w:val="none"/>
                <w:lang w:eastAsia="zh-CN"/>
              </w:rPr>
              <w:t>）稳步推进城镇老旧小区改造，完成城镇老旧小区改造</w:t>
            </w:r>
            <w:r>
              <w:rPr>
                <w:rFonts w:hint="default" w:ascii="Times New Roman" w:hAnsi="Times New Roman" w:eastAsia="仿宋_GB2312" w:cs="Times New Roman"/>
                <w:b w:val="0"/>
                <w:bCs/>
                <w:strike w:val="0"/>
                <w:dstrike w:val="0"/>
                <w:color w:val="000000"/>
                <w:sz w:val="24"/>
                <w:szCs w:val="24"/>
                <w:highlight w:val="none"/>
                <w:u w:val="none"/>
                <w:lang w:val="en-US" w:eastAsia="zh-CN"/>
              </w:rPr>
              <w:t>172</w:t>
            </w:r>
            <w:r>
              <w:rPr>
                <w:rFonts w:hint="default" w:ascii="Times New Roman" w:hAnsi="Times New Roman" w:eastAsia="仿宋_GB2312" w:cs="Times New Roman"/>
                <w:b w:val="0"/>
                <w:bCs/>
                <w:color w:val="000000"/>
                <w:sz w:val="24"/>
                <w:szCs w:val="24"/>
                <w:highlight w:val="none"/>
                <w:u w:val="none"/>
                <w:lang w:eastAsia="zh-CN"/>
              </w:rPr>
              <w:t>个。</w:t>
            </w:r>
          </w:p>
        </w:tc>
        <w:tc>
          <w:tcPr>
            <w:tcW w:w="3030" w:type="pct"/>
            <w:tcBorders>
              <w:tl2br w:val="nil"/>
              <w:tr2bl w:val="nil"/>
            </w:tcBorders>
            <w:noWrap w:val="0"/>
            <w:vAlign w:val="center"/>
          </w:tcPr>
          <w:p w14:paraId="27D5C5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全年完成</w:t>
            </w:r>
            <w:r>
              <w:rPr>
                <w:rFonts w:hint="default" w:ascii="Times New Roman" w:hAnsi="Times New Roman" w:eastAsia="仿宋_GB2312" w:cs="Times New Roman"/>
                <w:color w:val="000000"/>
                <w:sz w:val="24"/>
                <w:szCs w:val="24"/>
                <w:highlight w:val="none"/>
                <w:lang w:val="en-US" w:eastAsia="zh-CN" w:bidi="ar"/>
              </w:rPr>
              <w:t>全市172个城镇老旧小区改造。</w:t>
            </w:r>
          </w:p>
        </w:tc>
      </w:tr>
      <w:tr w14:paraId="757F9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98" w:type="pct"/>
            <w:vMerge w:val="restart"/>
            <w:tcBorders>
              <w:tl2br w:val="nil"/>
              <w:tr2bl w:val="nil"/>
            </w:tcBorders>
            <w:noWrap w:val="0"/>
            <w:vAlign w:val="center"/>
          </w:tcPr>
          <w:p w14:paraId="23E77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25</w:t>
            </w:r>
          </w:p>
        </w:tc>
        <w:tc>
          <w:tcPr>
            <w:tcW w:w="259" w:type="pct"/>
            <w:vMerge w:val="restart"/>
            <w:tcBorders>
              <w:tl2br w:val="nil"/>
              <w:tr2bl w:val="nil"/>
            </w:tcBorders>
            <w:noWrap w:val="0"/>
            <w:vAlign w:val="center"/>
          </w:tcPr>
          <w:p w14:paraId="4455C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511" w:type="pct"/>
            <w:tcBorders>
              <w:tl2br w:val="nil"/>
              <w:tr2bl w:val="nil"/>
            </w:tcBorders>
            <w:noWrap/>
            <w:vAlign w:val="center"/>
          </w:tcPr>
          <w:p w14:paraId="73AD91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35</w:t>
            </w:r>
            <w:r>
              <w:rPr>
                <w:rFonts w:hint="default" w:ascii="Times New Roman" w:hAnsi="Times New Roman" w:eastAsia="仿宋_GB2312" w:cs="Times New Roman"/>
                <w:b w:val="0"/>
                <w:bCs/>
                <w:color w:val="000000"/>
                <w:sz w:val="24"/>
                <w:szCs w:val="24"/>
                <w:highlight w:val="none"/>
                <w:u w:val="none"/>
                <w:lang w:eastAsia="zh-CN"/>
              </w:rPr>
              <w:t>）加强老旧住宅小区物业管理，推进老旧住宅小区实现物业管理常态长效。</w:t>
            </w:r>
          </w:p>
        </w:tc>
        <w:tc>
          <w:tcPr>
            <w:tcW w:w="3030" w:type="pct"/>
            <w:tcBorders>
              <w:tl2br w:val="nil"/>
              <w:tr2bl w:val="nil"/>
            </w:tcBorders>
            <w:noWrap w:val="0"/>
            <w:vAlign w:val="center"/>
          </w:tcPr>
          <w:p w14:paraId="32767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全年全市对物业服务进行综合考评，对全市范围内物业服务企业通过综合考评实行优胜劣汰制，对经营不善、业主意见大、考评不合格等物业进行清退。</w:t>
            </w:r>
          </w:p>
        </w:tc>
      </w:tr>
      <w:tr w14:paraId="2BD4F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98" w:type="pct"/>
            <w:vMerge w:val="continue"/>
            <w:tcBorders>
              <w:tl2br w:val="nil"/>
              <w:tr2bl w:val="nil"/>
            </w:tcBorders>
            <w:noWrap w:val="0"/>
            <w:vAlign w:val="center"/>
          </w:tcPr>
          <w:p w14:paraId="2010E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1D6EC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386482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36</w:t>
            </w:r>
            <w:r>
              <w:rPr>
                <w:rFonts w:hint="default" w:ascii="Times New Roman" w:hAnsi="Times New Roman" w:eastAsia="仿宋_GB2312" w:cs="Times New Roman"/>
                <w:b w:val="0"/>
                <w:bCs/>
                <w:color w:val="000000"/>
                <w:sz w:val="24"/>
                <w:szCs w:val="24"/>
                <w:highlight w:val="none"/>
                <w:u w:val="none"/>
                <w:lang w:eastAsia="zh-CN"/>
              </w:rPr>
              <w:t>）推动住宅小区新增电动自行车充电端口</w:t>
            </w:r>
            <w:r>
              <w:rPr>
                <w:rFonts w:hint="default" w:ascii="Times New Roman" w:hAnsi="Times New Roman" w:eastAsia="仿宋_GB2312" w:cs="Times New Roman"/>
                <w:b w:val="0"/>
                <w:bCs/>
                <w:strike w:val="0"/>
                <w:dstrike w:val="0"/>
                <w:color w:val="000000"/>
                <w:sz w:val="24"/>
                <w:szCs w:val="24"/>
                <w:highlight w:val="none"/>
                <w:u w:val="none"/>
                <w:lang w:val="en-US" w:eastAsia="zh-CN"/>
              </w:rPr>
              <w:t>1.2</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p>
        </w:tc>
        <w:tc>
          <w:tcPr>
            <w:tcW w:w="3030" w:type="pct"/>
            <w:tcBorders>
              <w:tl2br w:val="nil"/>
              <w:tr2bl w:val="nil"/>
            </w:tcBorders>
            <w:noWrap w:val="0"/>
            <w:vAlign w:val="center"/>
          </w:tcPr>
          <w:p w14:paraId="1ED50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全年全市新增自行车充电端口1.22万个。</w:t>
            </w:r>
          </w:p>
        </w:tc>
      </w:tr>
      <w:tr w14:paraId="39F22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98" w:type="pct"/>
            <w:vMerge w:val="continue"/>
            <w:tcBorders>
              <w:tl2br w:val="nil"/>
              <w:tr2bl w:val="nil"/>
            </w:tcBorders>
            <w:noWrap w:val="0"/>
            <w:vAlign w:val="center"/>
          </w:tcPr>
          <w:p w14:paraId="2E177844">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4B6D7A4C">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01EEBC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37</w:t>
            </w:r>
            <w:r>
              <w:rPr>
                <w:rFonts w:hint="default" w:ascii="Times New Roman" w:hAnsi="Times New Roman" w:eastAsia="仿宋_GB2312" w:cs="Times New Roman"/>
                <w:b w:val="0"/>
                <w:bCs/>
                <w:color w:val="000000"/>
                <w:sz w:val="24"/>
                <w:szCs w:val="24"/>
                <w:highlight w:val="none"/>
                <w:u w:val="none"/>
                <w:lang w:eastAsia="zh-CN"/>
              </w:rPr>
              <w:t>）实施住宅小区屋面渗漏和外墙脱落维修</w:t>
            </w:r>
            <w:r>
              <w:rPr>
                <w:rFonts w:hint="default" w:ascii="Times New Roman" w:hAnsi="Times New Roman" w:eastAsia="仿宋_GB2312" w:cs="Times New Roman"/>
                <w:b w:val="0"/>
                <w:bCs/>
                <w:strike w:val="0"/>
                <w:dstrike w:val="0"/>
                <w:color w:val="000000"/>
                <w:sz w:val="24"/>
                <w:szCs w:val="24"/>
                <w:highlight w:val="none"/>
                <w:u w:val="none"/>
                <w:lang w:val="en-US" w:eastAsia="zh-CN"/>
              </w:rPr>
              <w:t>8</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平方米。</w:t>
            </w:r>
          </w:p>
        </w:tc>
        <w:tc>
          <w:tcPr>
            <w:tcW w:w="3030" w:type="pct"/>
            <w:tcBorders>
              <w:tl2br w:val="nil"/>
              <w:tr2bl w:val="nil"/>
            </w:tcBorders>
            <w:noWrap w:val="0"/>
            <w:vAlign w:val="center"/>
          </w:tcPr>
          <w:p w14:paraId="040096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全年完成住宅小区</w:t>
            </w:r>
            <w:r>
              <w:rPr>
                <w:rFonts w:hint="default" w:ascii="Times New Roman" w:hAnsi="Times New Roman" w:eastAsia="仿宋_GB2312" w:cs="Times New Roman"/>
                <w:b w:val="0"/>
                <w:bCs/>
                <w:color w:val="000000"/>
                <w:sz w:val="24"/>
                <w:szCs w:val="24"/>
                <w:highlight w:val="none"/>
                <w:u w:val="none"/>
                <w:lang w:eastAsia="zh-CN"/>
              </w:rPr>
              <w:t>屋面渗漏和外墙脱落维修</w:t>
            </w:r>
            <w:r>
              <w:rPr>
                <w:rFonts w:hint="default" w:ascii="Times New Roman" w:hAnsi="Times New Roman" w:eastAsia="仿宋_GB2312" w:cs="Times New Roman"/>
                <w:i w:val="0"/>
                <w:iCs w:val="0"/>
                <w:color w:val="000000"/>
                <w:sz w:val="24"/>
                <w:szCs w:val="24"/>
                <w:highlight w:val="none"/>
                <w:u w:val="none"/>
                <w:lang w:val="en-US" w:eastAsia="zh-CN"/>
              </w:rPr>
              <w:t>9.4万平方米。</w:t>
            </w:r>
          </w:p>
        </w:tc>
      </w:tr>
      <w:tr w14:paraId="14D5F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98" w:type="pct"/>
            <w:vMerge w:val="continue"/>
            <w:tcBorders>
              <w:tl2br w:val="nil"/>
              <w:tr2bl w:val="nil"/>
            </w:tcBorders>
            <w:noWrap w:val="0"/>
            <w:vAlign w:val="center"/>
          </w:tcPr>
          <w:p w14:paraId="75F28388">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551FED9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1CBDC0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38</w:t>
            </w:r>
            <w:r>
              <w:rPr>
                <w:rFonts w:hint="default" w:ascii="Times New Roman" w:hAnsi="Times New Roman" w:eastAsia="仿宋_GB2312" w:cs="Times New Roman"/>
                <w:b w:val="0"/>
                <w:bCs/>
                <w:color w:val="000000"/>
                <w:sz w:val="24"/>
                <w:szCs w:val="24"/>
                <w:highlight w:val="none"/>
                <w:u w:val="none"/>
                <w:lang w:eastAsia="zh-CN"/>
              </w:rPr>
              <w:t>）支持住宅老旧电梯更新</w:t>
            </w:r>
            <w:r>
              <w:rPr>
                <w:rFonts w:hint="default" w:ascii="Times New Roman" w:hAnsi="Times New Roman" w:eastAsia="仿宋_GB2312" w:cs="Times New Roman"/>
                <w:b w:val="0"/>
                <w:bCs/>
                <w:strike w:val="0"/>
                <w:dstrike w:val="0"/>
                <w:color w:val="000000"/>
                <w:sz w:val="24"/>
                <w:szCs w:val="24"/>
                <w:highlight w:val="none"/>
                <w:u w:val="none"/>
                <w:lang w:val="en-US" w:eastAsia="zh-CN"/>
              </w:rPr>
              <w:t>286</w:t>
            </w:r>
            <w:r>
              <w:rPr>
                <w:rFonts w:hint="default" w:ascii="Times New Roman" w:hAnsi="Times New Roman" w:eastAsia="仿宋_GB2312" w:cs="Times New Roman"/>
                <w:b w:val="0"/>
                <w:bCs/>
                <w:color w:val="000000"/>
                <w:sz w:val="24"/>
                <w:szCs w:val="24"/>
                <w:highlight w:val="none"/>
                <w:u w:val="none"/>
                <w:lang w:eastAsia="zh-CN"/>
              </w:rPr>
              <w:t>台。</w:t>
            </w:r>
          </w:p>
        </w:tc>
        <w:tc>
          <w:tcPr>
            <w:tcW w:w="3030" w:type="pct"/>
            <w:tcBorders>
              <w:tl2br w:val="nil"/>
              <w:tr2bl w:val="nil"/>
            </w:tcBorders>
            <w:noWrap w:val="0"/>
            <w:vAlign w:val="center"/>
          </w:tcPr>
          <w:p w14:paraId="7B8AF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全年完成286台</w:t>
            </w:r>
            <w:r>
              <w:rPr>
                <w:rFonts w:hint="default" w:ascii="Times New Roman" w:hAnsi="Times New Roman" w:eastAsia="仿宋_GB2312" w:cs="Times New Roman"/>
                <w:b w:val="0"/>
                <w:bCs/>
                <w:color w:val="000000"/>
                <w:sz w:val="24"/>
                <w:szCs w:val="24"/>
                <w:highlight w:val="none"/>
                <w:u w:val="none"/>
                <w:lang w:eastAsia="zh-CN"/>
              </w:rPr>
              <w:t>住宅老旧</w:t>
            </w:r>
            <w:r>
              <w:rPr>
                <w:rFonts w:hint="default" w:ascii="Times New Roman" w:hAnsi="Times New Roman" w:eastAsia="仿宋_GB2312" w:cs="Times New Roman"/>
                <w:i w:val="0"/>
                <w:iCs w:val="0"/>
                <w:color w:val="000000"/>
                <w:sz w:val="24"/>
                <w:szCs w:val="24"/>
                <w:highlight w:val="none"/>
                <w:u w:val="none"/>
                <w:lang w:val="en-US" w:eastAsia="zh-CN"/>
              </w:rPr>
              <w:t>电梯更新。</w:t>
            </w:r>
          </w:p>
        </w:tc>
      </w:tr>
      <w:tr w14:paraId="0553F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98" w:type="pct"/>
            <w:vMerge w:val="restart"/>
            <w:tcBorders>
              <w:tl2br w:val="nil"/>
              <w:tr2bl w:val="nil"/>
            </w:tcBorders>
            <w:noWrap w:val="0"/>
            <w:vAlign w:val="center"/>
          </w:tcPr>
          <w:p w14:paraId="3EFA9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26</w:t>
            </w:r>
          </w:p>
        </w:tc>
        <w:tc>
          <w:tcPr>
            <w:tcW w:w="259" w:type="pct"/>
            <w:vMerge w:val="restart"/>
            <w:tcBorders>
              <w:tl2br w:val="nil"/>
              <w:tr2bl w:val="nil"/>
            </w:tcBorders>
            <w:noWrap w:val="0"/>
            <w:vAlign w:val="center"/>
          </w:tcPr>
          <w:p w14:paraId="43B47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市水利局</w:t>
            </w:r>
          </w:p>
        </w:tc>
        <w:tc>
          <w:tcPr>
            <w:tcW w:w="1511" w:type="pct"/>
            <w:tcBorders>
              <w:tl2br w:val="nil"/>
              <w:tr2bl w:val="nil"/>
            </w:tcBorders>
            <w:noWrap/>
            <w:vAlign w:val="center"/>
          </w:tcPr>
          <w:p w14:paraId="7C6471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39</w:t>
            </w:r>
            <w:r>
              <w:rPr>
                <w:rFonts w:hint="default" w:ascii="Times New Roman" w:hAnsi="Times New Roman" w:eastAsia="仿宋_GB2312" w:cs="Times New Roman"/>
                <w:b w:val="0"/>
                <w:bCs/>
                <w:color w:val="000000"/>
                <w:sz w:val="24"/>
                <w:szCs w:val="24"/>
                <w:highlight w:val="none"/>
                <w:u w:val="none"/>
                <w:lang w:eastAsia="zh-CN"/>
              </w:rPr>
              <w:t>）实施皖北地区群众喝上引调水工程和淮河以南地区农村供水保障提升工程。</w:t>
            </w:r>
          </w:p>
        </w:tc>
        <w:tc>
          <w:tcPr>
            <w:tcW w:w="3030" w:type="pct"/>
            <w:tcBorders>
              <w:tl2br w:val="nil"/>
              <w:tr2bl w:val="nil"/>
            </w:tcBorders>
            <w:noWrap w:val="0"/>
            <w:vAlign w:val="center"/>
          </w:tcPr>
          <w:p w14:paraId="597B7C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全年完成皖北地区群众喝上引调水工程和淮河以南地区农村供水保障提升工程共10处，累计完成年度投资79091万元。</w:t>
            </w:r>
          </w:p>
        </w:tc>
      </w:tr>
      <w:tr w14:paraId="3511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98" w:type="pct"/>
            <w:vMerge w:val="continue"/>
            <w:tcBorders>
              <w:tl2br w:val="nil"/>
              <w:tr2bl w:val="nil"/>
            </w:tcBorders>
            <w:noWrap w:val="0"/>
            <w:vAlign w:val="center"/>
          </w:tcPr>
          <w:p w14:paraId="2020A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4316F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4692C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40</w:t>
            </w:r>
            <w:r>
              <w:rPr>
                <w:rFonts w:hint="default" w:ascii="Times New Roman" w:hAnsi="Times New Roman" w:eastAsia="仿宋_GB2312" w:cs="Times New Roman"/>
                <w:b w:val="0"/>
                <w:bCs/>
                <w:color w:val="000000"/>
                <w:sz w:val="24"/>
                <w:szCs w:val="24"/>
                <w:highlight w:val="none"/>
                <w:u w:val="none"/>
                <w:lang w:eastAsia="zh-CN"/>
              </w:rPr>
              <w:t>）新增解决不能24小时供水村庄</w:t>
            </w:r>
            <w:r>
              <w:rPr>
                <w:rFonts w:hint="default" w:ascii="Times New Roman" w:hAnsi="Times New Roman" w:eastAsia="仿宋_GB2312" w:cs="Times New Roman"/>
                <w:b w:val="0"/>
                <w:bCs/>
                <w:strike w:val="0"/>
                <w:dstrike w:val="0"/>
                <w:color w:val="000000"/>
                <w:sz w:val="24"/>
                <w:szCs w:val="24"/>
                <w:highlight w:val="none"/>
                <w:u w:val="none"/>
                <w:lang w:val="en-US" w:eastAsia="zh-CN"/>
              </w:rPr>
              <w:t>87</w:t>
            </w:r>
            <w:r>
              <w:rPr>
                <w:rFonts w:hint="default" w:ascii="Times New Roman" w:hAnsi="Times New Roman" w:eastAsia="仿宋_GB2312" w:cs="Times New Roman"/>
                <w:b w:val="0"/>
                <w:bCs/>
                <w:color w:val="000000"/>
                <w:sz w:val="24"/>
                <w:szCs w:val="24"/>
                <w:highlight w:val="none"/>
                <w:u w:val="none"/>
                <w:lang w:eastAsia="zh-CN"/>
              </w:rPr>
              <w:t>个。</w:t>
            </w:r>
          </w:p>
        </w:tc>
        <w:tc>
          <w:tcPr>
            <w:tcW w:w="3030" w:type="pct"/>
            <w:tcBorders>
              <w:tl2br w:val="nil"/>
              <w:tr2bl w:val="nil"/>
            </w:tcBorders>
            <w:noWrap w:val="0"/>
            <w:vAlign w:val="center"/>
          </w:tcPr>
          <w:p w14:paraId="3AF408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b w:val="0"/>
                <w:bCs/>
                <w:color w:val="000000"/>
                <w:sz w:val="24"/>
                <w:szCs w:val="24"/>
                <w:highlight w:val="none"/>
                <w:u w:val="none"/>
                <w:lang w:eastAsia="zh-CN"/>
              </w:rPr>
              <w:t>全年全市新增解决不能24小时供水村庄</w:t>
            </w:r>
            <w:r>
              <w:rPr>
                <w:rFonts w:hint="default" w:ascii="Times New Roman" w:hAnsi="Times New Roman" w:eastAsia="仿宋_GB2312" w:cs="Times New Roman"/>
                <w:b w:val="0"/>
                <w:bCs/>
                <w:strike w:val="0"/>
                <w:dstrike w:val="0"/>
                <w:color w:val="000000"/>
                <w:sz w:val="24"/>
                <w:szCs w:val="24"/>
                <w:highlight w:val="none"/>
                <w:u w:val="none"/>
                <w:lang w:val="en-US" w:eastAsia="zh-CN"/>
              </w:rPr>
              <w:t>87</w:t>
            </w:r>
            <w:r>
              <w:rPr>
                <w:rFonts w:hint="default" w:ascii="Times New Roman" w:hAnsi="Times New Roman" w:eastAsia="仿宋_GB2312" w:cs="Times New Roman"/>
                <w:b w:val="0"/>
                <w:bCs/>
                <w:color w:val="000000"/>
                <w:sz w:val="24"/>
                <w:szCs w:val="24"/>
                <w:highlight w:val="none"/>
                <w:u w:val="none"/>
                <w:lang w:eastAsia="zh-CN"/>
              </w:rPr>
              <w:t>个，</w:t>
            </w:r>
            <w:r>
              <w:rPr>
                <w:rFonts w:hint="default" w:ascii="Times New Roman" w:hAnsi="Times New Roman" w:eastAsia="仿宋_GB2312" w:cs="Times New Roman"/>
                <w:i w:val="0"/>
                <w:iCs w:val="0"/>
                <w:color w:val="000000"/>
                <w:sz w:val="24"/>
                <w:szCs w:val="24"/>
                <w:highlight w:val="none"/>
                <w:u w:val="none"/>
                <w:lang w:val="en-US" w:eastAsia="zh-CN"/>
              </w:rPr>
              <w:t>其中，凤台县15个村、</w:t>
            </w:r>
            <w:r>
              <w:rPr>
                <w:rFonts w:hint="default" w:ascii="Times New Roman" w:hAnsi="Times New Roman" w:eastAsia="仿宋_GB2312" w:cs="Times New Roman"/>
                <w:i w:val="0"/>
                <w:iCs w:val="0"/>
                <w:color w:val="000000"/>
                <w:sz w:val="24"/>
                <w:szCs w:val="24"/>
                <w:highlight w:val="none"/>
                <w:u w:val="none"/>
              </w:rPr>
              <w:t>寿县</w:t>
            </w:r>
            <w:r>
              <w:rPr>
                <w:rFonts w:hint="default" w:ascii="Times New Roman" w:hAnsi="Times New Roman" w:eastAsia="仿宋_GB2312" w:cs="Times New Roman"/>
                <w:i w:val="0"/>
                <w:iCs w:val="0"/>
                <w:color w:val="000000"/>
                <w:sz w:val="24"/>
                <w:szCs w:val="24"/>
                <w:highlight w:val="none"/>
                <w:u w:val="none"/>
                <w:lang w:val="en-US" w:eastAsia="zh-CN"/>
              </w:rPr>
              <w:t>72个村。</w:t>
            </w:r>
          </w:p>
        </w:tc>
      </w:tr>
      <w:tr w14:paraId="3525D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198" w:type="pct"/>
            <w:tcBorders>
              <w:tl2br w:val="nil"/>
              <w:tr2bl w:val="nil"/>
            </w:tcBorders>
            <w:noWrap w:val="0"/>
            <w:vAlign w:val="center"/>
          </w:tcPr>
          <w:p w14:paraId="54395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27</w:t>
            </w:r>
          </w:p>
        </w:tc>
        <w:tc>
          <w:tcPr>
            <w:tcW w:w="259" w:type="pct"/>
            <w:tcBorders>
              <w:tl2br w:val="nil"/>
              <w:tr2bl w:val="nil"/>
            </w:tcBorders>
            <w:noWrap w:val="0"/>
            <w:vAlign w:val="center"/>
          </w:tcPr>
          <w:p w14:paraId="026408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tc>
        <w:tc>
          <w:tcPr>
            <w:tcW w:w="1511" w:type="pct"/>
            <w:tcBorders>
              <w:tl2br w:val="nil"/>
              <w:tr2bl w:val="nil"/>
            </w:tcBorders>
            <w:noWrap/>
            <w:vAlign w:val="center"/>
          </w:tcPr>
          <w:p w14:paraId="29128A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41</w:t>
            </w:r>
            <w:r>
              <w:rPr>
                <w:rFonts w:hint="default" w:ascii="Times New Roman" w:hAnsi="Times New Roman" w:eastAsia="仿宋_GB2312" w:cs="Times New Roman"/>
                <w:b w:val="0"/>
                <w:bCs/>
                <w:color w:val="000000"/>
                <w:sz w:val="24"/>
                <w:szCs w:val="24"/>
                <w:highlight w:val="none"/>
                <w:u w:val="none"/>
                <w:lang w:eastAsia="zh-CN"/>
              </w:rPr>
              <w:t>）推动全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工会驿站增能提质，建设</w:t>
            </w:r>
            <w:r>
              <w:rPr>
                <w:rFonts w:hint="default" w:ascii="Times New Roman" w:hAnsi="Times New Roman" w:eastAsia="仿宋_GB2312" w:cs="Times New Roman"/>
                <w:b w:val="0"/>
                <w:bCs/>
                <w:strike w:val="0"/>
                <w:dstrike w:val="0"/>
                <w:color w:val="000000"/>
                <w:sz w:val="24"/>
                <w:szCs w:val="24"/>
                <w:highlight w:val="none"/>
                <w:u w:val="none"/>
                <w:lang w:val="en-US" w:eastAsia="zh-CN"/>
              </w:rPr>
              <w:t>15</w:t>
            </w:r>
            <w:r>
              <w:rPr>
                <w:rFonts w:hint="default" w:ascii="Times New Roman" w:hAnsi="Times New Roman" w:eastAsia="仿宋_GB2312" w:cs="Times New Roman"/>
                <w:b w:val="0"/>
                <w:bCs/>
                <w:color w:val="000000"/>
                <w:sz w:val="24"/>
                <w:szCs w:val="24"/>
                <w:highlight w:val="none"/>
                <w:u w:val="none"/>
                <w:lang w:eastAsia="zh-CN"/>
              </w:rPr>
              <w:t>个全国和安徽省最美工会驿站。</w:t>
            </w:r>
          </w:p>
        </w:tc>
        <w:tc>
          <w:tcPr>
            <w:tcW w:w="3030" w:type="pct"/>
            <w:tcBorders>
              <w:tl2br w:val="nil"/>
              <w:tr2bl w:val="nil"/>
            </w:tcBorders>
            <w:noWrap w:val="0"/>
            <w:vAlign w:val="center"/>
          </w:tcPr>
          <w:p w14:paraId="48FC2D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全年建设最美工会驿站15个。</w:t>
            </w:r>
          </w:p>
        </w:tc>
      </w:tr>
      <w:tr w14:paraId="5E87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98" w:type="pct"/>
            <w:tcBorders>
              <w:tl2br w:val="nil"/>
              <w:tr2bl w:val="nil"/>
            </w:tcBorders>
            <w:noWrap w:val="0"/>
            <w:vAlign w:val="center"/>
          </w:tcPr>
          <w:p w14:paraId="75EB1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28</w:t>
            </w:r>
          </w:p>
        </w:tc>
        <w:tc>
          <w:tcPr>
            <w:tcW w:w="259" w:type="pct"/>
            <w:tcBorders>
              <w:tl2br w:val="nil"/>
              <w:tr2bl w:val="nil"/>
            </w:tcBorders>
            <w:noWrap w:val="0"/>
            <w:vAlign w:val="center"/>
          </w:tcPr>
          <w:p w14:paraId="7442E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市发改委</w:t>
            </w:r>
          </w:p>
        </w:tc>
        <w:tc>
          <w:tcPr>
            <w:tcW w:w="1511" w:type="pct"/>
            <w:tcBorders>
              <w:tl2br w:val="nil"/>
              <w:tr2bl w:val="nil"/>
            </w:tcBorders>
            <w:noWrap/>
            <w:vAlign w:val="center"/>
          </w:tcPr>
          <w:p w14:paraId="75CDF2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eastAsia="zh-CN"/>
              </w:rPr>
              <w:t>）实施“惠民菜篮子”行动，推进</w:t>
            </w:r>
            <w:r>
              <w:rPr>
                <w:rFonts w:hint="default" w:ascii="Times New Roman" w:hAnsi="Times New Roman" w:eastAsia="仿宋_GB2312" w:cs="Times New Roman"/>
                <w:b w:val="0"/>
                <w:bCs/>
                <w:strike w:val="0"/>
                <w:dstrike w:val="0"/>
                <w:color w:val="000000"/>
                <w:sz w:val="24"/>
                <w:szCs w:val="24"/>
                <w:highlight w:val="none"/>
                <w:u w:val="none"/>
                <w:lang w:val="en-US" w:eastAsia="zh-CN"/>
              </w:rPr>
              <w:t>18</w:t>
            </w:r>
            <w:r>
              <w:rPr>
                <w:rFonts w:hint="default" w:ascii="Times New Roman" w:hAnsi="Times New Roman" w:eastAsia="仿宋_GB2312" w:cs="Times New Roman"/>
                <w:b w:val="0"/>
                <w:bCs/>
                <w:color w:val="000000"/>
                <w:sz w:val="24"/>
                <w:szCs w:val="24"/>
                <w:highlight w:val="none"/>
                <w:u w:val="none"/>
                <w:lang w:eastAsia="zh-CN"/>
              </w:rPr>
              <w:t>家左右商超及社区连锁店运行“惠民菜篮子”。</w:t>
            </w:r>
          </w:p>
        </w:tc>
        <w:tc>
          <w:tcPr>
            <w:tcW w:w="3030" w:type="pct"/>
            <w:tcBorders>
              <w:tl2br w:val="nil"/>
              <w:tr2bl w:val="nil"/>
            </w:tcBorders>
            <w:noWrap w:val="0"/>
            <w:vAlign w:val="center"/>
          </w:tcPr>
          <w:p w14:paraId="4D366E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全年全市43家“惠民菜篮子”商超在春节、五一、端午、国庆及中秋节期间，累计开展让利活动49天，销售平价菜1340吨、让利金额272.5万元。</w:t>
            </w:r>
          </w:p>
        </w:tc>
      </w:tr>
      <w:tr w14:paraId="5645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98" w:type="pct"/>
            <w:tcBorders>
              <w:tl2br w:val="nil"/>
              <w:tr2bl w:val="nil"/>
            </w:tcBorders>
            <w:noWrap w:val="0"/>
            <w:vAlign w:val="center"/>
          </w:tcPr>
          <w:p w14:paraId="7A2BC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29</w:t>
            </w:r>
          </w:p>
        </w:tc>
        <w:tc>
          <w:tcPr>
            <w:tcW w:w="259" w:type="pct"/>
            <w:tcBorders>
              <w:tl2br w:val="nil"/>
              <w:tr2bl w:val="nil"/>
            </w:tcBorders>
            <w:noWrap w:val="0"/>
            <w:vAlign w:val="center"/>
          </w:tcPr>
          <w:p w14:paraId="6BEB2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1511" w:type="pct"/>
            <w:tcBorders>
              <w:tl2br w:val="nil"/>
              <w:tr2bl w:val="nil"/>
            </w:tcBorders>
            <w:noWrap/>
            <w:vAlign w:val="center"/>
          </w:tcPr>
          <w:p w14:paraId="28A26D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（43）实施“食安名坊”培育行动，培育6家“食安名坊”，以点带面推动食品小作坊产业高质量发展。</w:t>
            </w:r>
          </w:p>
        </w:tc>
        <w:tc>
          <w:tcPr>
            <w:tcW w:w="3030" w:type="pct"/>
            <w:tcBorders>
              <w:tl2br w:val="nil"/>
              <w:tr2bl w:val="nil"/>
            </w:tcBorders>
            <w:noWrap/>
            <w:vAlign w:val="center"/>
          </w:tcPr>
          <w:p w14:paraId="58D272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全年淮南八公泉豆制品有限公司、淮南麦伽食品有限公司、凤台县朱马店镇瑞富食品厂、谢家集区饼人家蛋糕店、潘集区袁庄百草膏梨膏糖加工厂、毛集实验区中杰食品厂6家食品作坊荣获安徽省第二批“食安名坊”。</w:t>
            </w:r>
          </w:p>
        </w:tc>
      </w:tr>
      <w:tr w14:paraId="53E2F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98" w:type="pct"/>
            <w:vMerge w:val="restart"/>
            <w:tcBorders>
              <w:tl2br w:val="nil"/>
              <w:tr2bl w:val="nil"/>
            </w:tcBorders>
            <w:noWrap w:val="0"/>
            <w:vAlign w:val="center"/>
          </w:tcPr>
          <w:p w14:paraId="036CB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30</w:t>
            </w:r>
          </w:p>
        </w:tc>
        <w:tc>
          <w:tcPr>
            <w:tcW w:w="259" w:type="pct"/>
            <w:vMerge w:val="restart"/>
            <w:tcBorders>
              <w:tl2br w:val="nil"/>
              <w:tr2bl w:val="nil"/>
            </w:tcBorders>
            <w:noWrap w:val="0"/>
            <w:vAlign w:val="center"/>
          </w:tcPr>
          <w:p w14:paraId="7B5AF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1511" w:type="pct"/>
            <w:tcBorders>
              <w:tl2br w:val="nil"/>
              <w:tr2bl w:val="nil"/>
            </w:tcBorders>
            <w:noWrap/>
            <w:vAlign w:val="center"/>
          </w:tcPr>
          <w:p w14:paraId="2D48E7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44</w:t>
            </w:r>
            <w:r>
              <w:rPr>
                <w:rFonts w:hint="default" w:ascii="Times New Roman" w:hAnsi="Times New Roman" w:eastAsia="仿宋_GB2312" w:cs="Times New Roman"/>
                <w:b w:val="0"/>
                <w:bCs/>
                <w:color w:val="000000"/>
                <w:sz w:val="24"/>
                <w:szCs w:val="24"/>
                <w:highlight w:val="none"/>
                <w:u w:val="none"/>
                <w:lang w:eastAsia="zh-CN"/>
              </w:rPr>
              <w:t>）开展食品安全“你点我检”</w:t>
            </w:r>
            <w:r>
              <w:rPr>
                <w:rFonts w:hint="default" w:ascii="Times New Roman" w:hAnsi="Times New Roman" w:eastAsia="仿宋_GB2312" w:cs="Times New Roman"/>
                <w:b w:val="0"/>
                <w:bCs/>
                <w:strike w:val="0"/>
                <w:dstrike w:val="0"/>
                <w:color w:val="000000"/>
                <w:sz w:val="24"/>
                <w:szCs w:val="24"/>
                <w:highlight w:val="none"/>
                <w:u w:val="none"/>
                <w:lang w:val="en-US" w:eastAsia="zh-CN"/>
              </w:rPr>
              <w:t>500</w:t>
            </w:r>
            <w:r>
              <w:rPr>
                <w:rFonts w:hint="default" w:ascii="Times New Roman" w:hAnsi="Times New Roman" w:eastAsia="仿宋_GB2312" w:cs="Times New Roman"/>
                <w:b w:val="0"/>
                <w:bCs/>
                <w:color w:val="000000"/>
                <w:sz w:val="24"/>
                <w:szCs w:val="24"/>
                <w:highlight w:val="none"/>
                <w:u w:val="none"/>
                <w:lang w:eastAsia="zh-CN"/>
              </w:rPr>
              <w:t>批次。</w:t>
            </w:r>
          </w:p>
        </w:tc>
        <w:tc>
          <w:tcPr>
            <w:tcW w:w="3030" w:type="pct"/>
            <w:tcBorders>
              <w:tl2br w:val="nil"/>
              <w:tr2bl w:val="nil"/>
            </w:tcBorders>
            <w:noWrap w:val="0"/>
            <w:vAlign w:val="center"/>
          </w:tcPr>
          <w:p w14:paraId="40AEB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w:t>
            </w:r>
            <w:r>
              <w:rPr>
                <w:rFonts w:hint="default" w:ascii="Times New Roman" w:hAnsi="Times New Roman" w:eastAsia="仿宋_GB2312" w:cs="Times New Roman"/>
                <w:i w:val="0"/>
                <w:iCs w:val="0"/>
                <w:color w:val="auto"/>
                <w:sz w:val="24"/>
                <w:szCs w:val="24"/>
                <w:highlight w:val="none"/>
                <w:u w:val="none"/>
                <w:lang w:val="en-US" w:eastAsia="zh-CN"/>
              </w:rPr>
              <w:t>开展“你点我检”专项监督抽检516批次。</w:t>
            </w:r>
          </w:p>
        </w:tc>
      </w:tr>
      <w:tr w14:paraId="72817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98" w:type="pct"/>
            <w:vMerge w:val="continue"/>
            <w:tcBorders>
              <w:tl2br w:val="nil"/>
              <w:tr2bl w:val="nil"/>
            </w:tcBorders>
            <w:noWrap w:val="0"/>
            <w:vAlign w:val="center"/>
          </w:tcPr>
          <w:p w14:paraId="1079A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7B91D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73CF51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val="en-US" w:eastAsia="zh-CN"/>
              </w:rPr>
              <w:t>（45）开展</w:t>
            </w:r>
            <w:r>
              <w:rPr>
                <w:rFonts w:hint="default" w:ascii="Times New Roman" w:hAnsi="Times New Roman" w:eastAsia="仿宋_GB2312" w:cs="Times New Roman"/>
                <w:b w:val="0"/>
                <w:bCs/>
                <w:color w:val="000000"/>
                <w:sz w:val="24"/>
                <w:szCs w:val="24"/>
                <w:highlight w:val="none"/>
                <w:u w:val="none"/>
                <w:lang w:eastAsia="zh-CN"/>
              </w:rPr>
              <w:t>药械妆抽检</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sz w:val="24"/>
                <w:szCs w:val="24"/>
                <w:highlight w:val="none"/>
                <w:u w:val="none"/>
                <w:lang w:eastAsia="zh-CN"/>
              </w:rPr>
              <w:t>批次。</w:t>
            </w:r>
          </w:p>
        </w:tc>
        <w:tc>
          <w:tcPr>
            <w:tcW w:w="3030" w:type="pct"/>
            <w:tcBorders>
              <w:tl2br w:val="nil"/>
              <w:tr2bl w:val="nil"/>
            </w:tcBorders>
            <w:noWrap w:val="0"/>
            <w:vAlign w:val="center"/>
          </w:tcPr>
          <w:p w14:paraId="1EDF4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全年</w:t>
            </w:r>
            <w:r>
              <w:rPr>
                <w:rFonts w:hint="default" w:ascii="Times New Roman" w:hAnsi="Times New Roman" w:eastAsia="仿宋_GB2312" w:cs="Times New Roman"/>
                <w:i w:val="0"/>
                <w:iCs w:val="0"/>
                <w:color w:val="auto"/>
                <w:sz w:val="24"/>
                <w:szCs w:val="24"/>
                <w:highlight w:val="none"/>
                <w:u w:val="none"/>
                <w:lang w:val="en-US" w:eastAsia="zh-CN"/>
              </w:rPr>
              <w:t>开展药械妆监督抽检800批次。</w:t>
            </w:r>
          </w:p>
        </w:tc>
      </w:tr>
    </w:tbl>
    <w:p w14:paraId="28BB4D54"/>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1E2759-45D3-4D98-89A4-28862F3FA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86E8C7-9195-4BD3-9A6E-79E0883BD029}"/>
  </w:font>
  <w:font w:name="方正小标宋简体">
    <w:panose1 w:val="02000000000000000000"/>
    <w:charset w:val="86"/>
    <w:family w:val="auto"/>
    <w:pitch w:val="default"/>
    <w:sig w:usb0="00000001" w:usb1="08000000" w:usb2="00000000" w:usb3="00000000" w:csb0="00040000" w:csb1="00000000"/>
    <w:embedRegular r:id="rId3" w:fontKey="{04949822-0B3F-4F8B-BA93-A77278159147}"/>
  </w:font>
  <w:font w:name="仿宋_GB2312">
    <w:panose1 w:val="02010609030101010101"/>
    <w:charset w:val="86"/>
    <w:family w:val="auto"/>
    <w:pitch w:val="default"/>
    <w:sig w:usb0="00000001" w:usb1="080E0000" w:usb2="00000000" w:usb3="00000000" w:csb0="00040000" w:csb1="00000000"/>
    <w:embedRegular r:id="rId4" w:fontKey="{0BC8DFFC-B373-47A3-AADC-49268CFFE2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103CF"/>
    <w:rsid w:val="31510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2026-01-06T00:13:00Z</dcterms:created>
  <dc:creator>芒果</dc:creator>
  <cp:lastModifiedBy>芒果</cp:lastModifiedBy>
  <dcterms:modified xsi:type="dcterms:W3CDTF">2026-01-06T00:20:46Z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FEC326014288487BB897A20D48F5843E_11</vt:lpwstr>
  </property>
  <property fmtid="{D5CDD505-2E9C-101B-9397-08002B2CF9AE}" pid="4" name="KSOTemplateDocerSaveRecord">
    <vt:lpwstr>eyJoZGlkIjoiMDZhNjRmYzkyYjM1MjY1OWM3N2JmNmUwMDUwOGI5MWIiLCJ1c2VySWQiOiIzMzc4NjA3NDcifQ==</vt:lpwstr>
  </property>
</Properties>
</file>